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63" w:rsidRPr="00FF2996" w:rsidRDefault="00570563" w:rsidP="00D93263">
      <w:pPr>
        <w:spacing w:after="0"/>
        <w:jc w:val="center"/>
        <w:rPr>
          <w:rFonts w:ascii="Arial" w:hAnsi="Arial" w:cs="Arial"/>
          <w:b/>
          <w:sz w:val="28"/>
          <w:szCs w:val="28"/>
        </w:rPr>
      </w:pPr>
      <w:r w:rsidRPr="00FF2996">
        <w:rPr>
          <w:rFonts w:ascii="Arial" w:hAnsi="Arial" w:cs="Arial"/>
          <w:b/>
          <w:sz w:val="28"/>
          <w:szCs w:val="28"/>
        </w:rPr>
        <w:t>I</w:t>
      </w:r>
      <w:r w:rsidR="00296F55">
        <w:rPr>
          <w:rFonts w:ascii="Arial" w:hAnsi="Arial" w:cs="Arial"/>
          <w:b/>
          <w:sz w:val="28"/>
          <w:szCs w:val="28"/>
        </w:rPr>
        <w:t>nformation Sheet</w:t>
      </w:r>
    </w:p>
    <w:p w:rsidR="00570563" w:rsidRDefault="00570563" w:rsidP="00D93263">
      <w:pPr>
        <w:spacing w:after="0"/>
        <w:jc w:val="center"/>
        <w:rPr>
          <w:rFonts w:ascii="Arial" w:hAnsi="Arial" w:cs="Arial"/>
          <w:b/>
          <w:sz w:val="28"/>
          <w:szCs w:val="28"/>
        </w:rPr>
      </w:pPr>
      <w:r w:rsidRPr="00FF2996">
        <w:rPr>
          <w:rFonts w:ascii="Arial" w:hAnsi="Arial" w:cs="Arial"/>
          <w:b/>
          <w:sz w:val="28"/>
          <w:szCs w:val="28"/>
        </w:rPr>
        <w:t>D</w:t>
      </w:r>
      <w:r w:rsidR="00296F55">
        <w:rPr>
          <w:rFonts w:ascii="Arial" w:hAnsi="Arial" w:cs="Arial"/>
          <w:b/>
          <w:sz w:val="28"/>
          <w:szCs w:val="28"/>
        </w:rPr>
        <w:t>etached Accessory Structures</w:t>
      </w:r>
    </w:p>
    <w:p w:rsidR="00F74487" w:rsidRDefault="00F74487" w:rsidP="00D93263">
      <w:pPr>
        <w:spacing w:after="0"/>
        <w:jc w:val="center"/>
        <w:rPr>
          <w:rFonts w:ascii="Arial" w:hAnsi="Arial" w:cs="Arial"/>
          <w:b/>
          <w:sz w:val="24"/>
          <w:szCs w:val="24"/>
        </w:rPr>
      </w:pPr>
      <w:r>
        <w:rPr>
          <w:rFonts w:ascii="Arial" w:hAnsi="Arial" w:cs="Arial"/>
          <w:b/>
          <w:sz w:val="28"/>
          <w:szCs w:val="28"/>
        </w:rPr>
        <w:t>Chapter 23 and Chapter 4</w:t>
      </w:r>
    </w:p>
    <w:p w:rsidR="001F0D38" w:rsidRPr="00570563" w:rsidRDefault="001F0D38" w:rsidP="00D93263">
      <w:pPr>
        <w:spacing w:after="0"/>
        <w:jc w:val="center"/>
        <w:rPr>
          <w:rFonts w:ascii="Arial" w:hAnsi="Arial" w:cs="Arial"/>
          <w:b/>
          <w:sz w:val="24"/>
          <w:szCs w:val="24"/>
        </w:rPr>
      </w:pPr>
    </w:p>
    <w:p w:rsidR="00570563" w:rsidRPr="00FF2996" w:rsidRDefault="00570563" w:rsidP="00570563">
      <w:pPr>
        <w:rPr>
          <w:rFonts w:ascii="Arial" w:hAnsi="Arial" w:cs="Arial"/>
          <w:b/>
        </w:rPr>
      </w:pPr>
      <w:r w:rsidRPr="00FF2996">
        <w:rPr>
          <w:rFonts w:ascii="Arial" w:hAnsi="Arial" w:cs="Arial"/>
          <w:b/>
        </w:rPr>
        <w:t>T</w:t>
      </w:r>
      <w:r w:rsidR="000C6F4D">
        <w:rPr>
          <w:rFonts w:ascii="Arial" w:hAnsi="Arial" w:cs="Arial"/>
          <w:b/>
        </w:rPr>
        <w:t>ypes of Accessory Structures</w:t>
      </w:r>
      <w:r w:rsidRPr="00FF2996">
        <w:rPr>
          <w:rFonts w:ascii="Arial" w:hAnsi="Arial" w:cs="Arial"/>
          <w:b/>
        </w:rPr>
        <w:t>:</w:t>
      </w:r>
    </w:p>
    <w:p w:rsidR="00BD3FEA" w:rsidRPr="00FF2996" w:rsidRDefault="00D1319A" w:rsidP="00FF2996">
      <w:pPr>
        <w:jc w:val="both"/>
        <w:rPr>
          <w:rFonts w:ascii="Arial" w:hAnsi="Arial" w:cs="Arial"/>
        </w:rPr>
      </w:pPr>
      <w:r w:rsidRPr="00FF2996">
        <w:rPr>
          <w:rFonts w:ascii="Arial" w:hAnsi="Arial" w:cs="Arial"/>
        </w:rPr>
        <w:t>All accessory structures erected must comply with the provisions of the Zoning Ordinance concerning location, size, and use.  The following are examples of detached accessory structures: (this is not an all inclusive list)</w:t>
      </w:r>
    </w:p>
    <w:p w:rsidR="00D1319A" w:rsidRPr="00FF2996" w:rsidRDefault="00D1319A" w:rsidP="00FF2996">
      <w:pPr>
        <w:pStyle w:val="ListParagraph"/>
        <w:jc w:val="both"/>
        <w:rPr>
          <w:rFonts w:ascii="Arial" w:hAnsi="Arial" w:cs="Arial"/>
        </w:rPr>
      </w:pPr>
      <w:r w:rsidRPr="00FF2996">
        <w:rPr>
          <w:rFonts w:ascii="Arial" w:hAnsi="Arial" w:cs="Arial"/>
        </w:rPr>
        <w:t>Storage buildings,</w:t>
      </w:r>
      <w:r w:rsidR="0010423E" w:rsidRPr="00FF2996">
        <w:rPr>
          <w:rFonts w:ascii="Arial" w:hAnsi="Arial" w:cs="Arial"/>
        </w:rPr>
        <w:t xml:space="preserve"> detached</w:t>
      </w:r>
      <w:r w:rsidRPr="00FF2996">
        <w:rPr>
          <w:rFonts w:ascii="Arial" w:hAnsi="Arial" w:cs="Arial"/>
        </w:rPr>
        <w:t xml:space="preserve"> garages, carports,</w:t>
      </w:r>
      <w:r w:rsidR="0010423E" w:rsidRPr="00FF2996">
        <w:rPr>
          <w:rFonts w:ascii="Arial" w:hAnsi="Arial" w:cs="Arial"/>
        </w:rPr>
        <w:t xml:space="preserve"> fireplaces, </w:t>
      </w:r>
      <w:r w:rsidRPr="00FF2996">
        <w:rPr>
          <w:rFonts w:ascii="Arial" w:hAnsi="Arial" w:cs="Arial"/>
        </w:rPr>
        <w:t xml:space="preserve"> wood sheds, gazebos, tree houses, greenhouses, playhouses, pool bath houses, skateboard platforms, covered animal enclosures, playground equipment, barns, stables, riding rings, etc.</w:t>
      </w:r>
    </w:p>
    <w:p w:rsidR="008E2025" w:rsidRPr="00FF2996" w:rsidRDefault="008E2025" w:rsidP="00FF2996">
      <w:pPr>
        <w:jc w:val="both"/>
        <w:rPr>
          <w:rFonts w:ascii="Arial" w:hAnsi="Arial" w:cs="Arial"/>
        </w:rPr>
      </w:pPr>
      <w:r w:rsidRPr="00FF2996">
        <w:rPr>
          <w:rFonts w:ascii="Arial" w:hAnsi="Arial" w:cs="Arial"/>
        </w:rPr>
        <w:t xml:space="preserve">Pergolas, trellises and arbors eight (8) feet or less are not considered accessory structures, but </w:t>
      </w:r>
      <w:r w:rsidR="000577B4" w:rsidRPr="00FF2996">
        <w:rPr>
          <w:rFonts w:ascii="Arial" w:hAnsi="Arial" w:cs="Arial"/>
        </w:rPr>
        <w:t>a permit is required prior to construction.</w:t>
      </w:r>
      <w:r w:rsidRPr="00FF2996">
        <w:rPr>
          <w:rFonts w:ascii="Arial" w:hAnsi="Arial" w:cs="Arial"/>
        </w:rPr>
        <w:t xml:space="preserve"> </w:t>
      </w:r>
    </w:p>
    <w:p w:rsidR="00D1319A" w:rsidRPr="00FF2996" w:rsidRDefault="0067367D" w:rsidP="00FF2996">
      <w:pPr>
        <w:jc w:val="both"/>
        <w:rPr>
          <w:rFonts w:ascii="Arial" w:hAnsi="Arial" w:cs="Arial"/>
          <w:b/>
        </w:rPr>
      </w:pPr>
      <w:r w:rsidRPr="00FF2996">
        <w:rPr>
          <w:rFonts w:ascii="Arial" w:hAnsi="Arial" w:cs="Arial"/>
          <w:b/>
        </w:rPr>
        <w:t>P</w:t>
      </w:r>
      <w:r w:rsidR="00F3061C">
        <w:rPr>
          <w:rFonts w:ascii="Arial" w:hAnsi="Arial" w:cs="Arial"/>
          <w:b/>
        </w:rPr>
        <w:t>ermits</w:t>
      </w:r>
      <w:r w:rsidRPr="00FF2996">
        <w:rPr>
          <w:rFonts w:ascii="Arial" w:hAnsi="Arial" w:cs="Arial"/>
          <w:b/>
        </w:rPr>
        <w:t>:</w:t>
      </w:r>
    </w:p>
    <w:p w:rsidR="0067367D" w:rsidRPr="00FF2996" w:rsidRDefault="0067367D" w:rsidP="00FF2996">
      <w:pPr>
        <w:pStyle w:val="ListParagraph"/>
        <w:numPr>
          <w:ilvl w:val="0"/>
          <w:numId w:val="5"/>
        </w:numPr>
        <w:jc w:val="both"/>
        <w:rPr>
          <w:rFonts w:ascii="Arial" w:hAnsi="Arial" w:cs="Arial"/>
        </w:rPr>
      </w:pPr>
      <w:r w:rsidRPr="00FF2996">
        <w:rPr>
          <w:rFonts w:ascii="Arial" w:hAnsi="Arial" w:cs="Arial"/>
        </w:rPr>
        <w:t>Building permits must be obtained prior to erecting accessory structures.</w:t>
      </w:r>
    </w:p>
    <w:p w:rsidR="0067367D" w:rsidRPr="00FF2996" w:rsidRDefault="0067367D" w:rsidP="00FF2996">
      <w:pPr>
        <w:pStyle w:val="ListParagraph"/>
        <w:numPr>
          <w:ilvl w:val="0"/>
          <w:numId w:val="5"/>
        </w:numPr>
        <w:jc w:val="both"/>
        <w:rPr>
          <w:rFonts w:ascii="Arial" w:hAnsi="Arial" w:cs="Arial"/>
        </w:rPr>
      </w:pPr>
      <w:r w:rsidRPr="00FF2996">
        <w:rPr>
          <w:rFonts w:ascii="Arial" w:hAnsi="Arial" w:cs="Arial"/>
        </w:rPr>
        <w:t>Building permit applications are processed and approved at the Department of Economic and Community Development, 1920 S</w:t>
      </w:r>
      <w:r w:rsidR="00521CE1" w:rsidRPr="00FF2996">
        <w:rPr>
          <w:rFonts w:ascii="Arial" w:hAnsi="Arial" w:cs="Arial"/>
        </w:rPr>
        <w:t>.</w:t>
      </w:r>
      <w:r w:rsidRPr="00FF2996">
        <w:rPr>
          <w:rFonts w:ascii="Arial" w:hAnsi="Arial" w:cs="Arial"/>
        </w:rPr>
        <w:t xml:space="preserve"> Germantown Road, between 8:00 a.m. and 4:45 p.m. daily, except weekends and holidays. The building permit is issued by the Memphis/Shelby County Building Department, 6465 Mullins Station Rd., Memphis, TN.</w:t>
      </w:r>
    </w:p>
    <w:p w:rsidR="0067367D" w:rsidRPr="00FF2996" w:rsidRDefault="00335A67" w:rsidP="00FF2996">
      <w:pPr>
        <w:pStyle w:val="ListParagraph"/>
        <w:numPr>
          <w:ilvl w:val="0"/>
          <w:numId w:val="5"/>
        </w:numPr>
        <w:jc w:val="both"/>
        <w:rPr>
          <w:rFonts w:ascii="Arial" w:hAnsi="Arial" w:cs="Arial"/>
        </w:rPr>
      </w:pPr>
      <w:r w:rsidRPr="00FF2996">
        <w:rPr>
          <w:rFonts w:ascii="Arial" w:hAnsi="Arial" w:cs="Arial"/>
        </w:rPr>
        <w:t>Applicants must provide:</w:t>
      </w:r>
    </w:p>
    <w:p w:rsidR="00335A67" w:rsidRPr="00FF2996" w:rsidRDefault="00335A67" w:rsidP="00FF2996">
      <w:pPr>
        <w:pStyle w:val="ListParagraph"/>
        <w:numPr>
          <w:ilvl w:val="0"/>
          <w:numId w:val="6"/>
        </w:numPr>
        <w:jc w:val="both"/>
        <w:rPr>
          <w:rFonts w:ascii="Arial" w:hAnsi="Arial" w:cs="Arial"/>
        </w:rPr>
      </w:pPr>
      <w:r w:rsidRPr="00FF2996">
        <w:rPr>
          <w:rFonts w:ascii="Arial" w:hAnsi="Arial" w:cs="Arial"/>
        </w:rPr>
        <w:t>A copy of the lot survey (plat) or a sketch of the lot</w:t>
      </w:r>
      <w:r w:rsidR="000577B4" w:rsidRPr="00FF2996">
        <w:rPr>
          <w:rFonts w:ascii="Arial" w:hAnsi="Arial" w:cs="Arial"/>
        </w:rPr>
        <w:t xml:space="preserve"> with dimensions</w:t>
      </w:r>
      <w:r w:rsidRPr="00FF2996">
        <w:rPr>
          <w:rFonts w:ascii="Arial" w:hAnsi="Arial" w:cs="Arial"/>
        </w:rPr>
        <w:t>.</w:t>
      </w:r>
    </w:p>
    <w:p w:rsidR="00335A67" w:rsidRPr="00FF2996" w:rsidRDefault="00335A67" w:rsidP="00FF2996">
      <w:pPr>
        <w:pStyle w:val="ListParagraph"/>
        <w:numPr>
          <w:ilvl w:val="0"/>
          <w:numId w:val="6"/>
        </w:numPr>
        <w:jc w:val="both"/>
        <w:rPr>
          <w:rFonts w:ascii="Arial" w:hAnsi="Arial" w:cs="Arial"/>
        </w:rPr>
      </w:pPr>
      <w:r w:rsidRPr="00FF2996">
        <w:rPr>
          <w:rFonts w:ascii="Arial" w:hAnsi="Arial" w:cs="Arial"/>
        </w:rPr>
        <w:t>The distance in feet the structure will be located from the principal building and the rear and nearest side property line.</w:t>
      </w:r>
    </w:p>
    <w:p w:rsidR="00335A67" w:rsidRPr="00FF2996" w:rsidRDefault="00335A67" w:rsidP="00FF2996">
      <w:pPr>
        <w:pStyle w:val="ListParagraph"/>
        <w:numPr>
          <w:ilvl w:val="0"/>
          <w:numId w:val="6"/>
        </w:numPr>
        <w:jc w:val="both"/>
        <w:rPr>
          <w:rFonts w:ascii="Arial" w:hAnsi="Arial" w:cs="Arial"/>
        </w:rPr>
      </w:pPr>
      <w:r w:rsidRPr="00FF2996">
        <w:rPr>
          <w:rFonts w:ascii="Arial" w:hAnsi="Arial" w:cs="Arial"/>
        </w:rPr>
        <w:t>Length, width and height of the structure being erected on the lot and location of any other existing structure</w:t>
      </w:r>
      <w:r w:rsidR="00BA32FF" w:rsidRPr="00FF2996">
        <w:rPr>
          <w:rFonts w:ascii="Arial" w:hAnsi="Arial" w:cs="Arial"/>
        </w:rPr>
        <w:t>’s</w:t>
      </w:r>
      <w:r w:rsidRPr="00FF2996">
        <w:rPr>
          <w:rFonts w:ascii="Arial" w:hAnsi="Arial" w:cs="Arial"/>
        </w:rPr>
        <w:t xml:space="preserve"> on the lot.</w:t>
      </w:r>
    </w:p>
    <w:p w:rsidR="00335A67" w:rsidRPr="00FF2996" w:rsidRDefault="00335A67" w:rsidP="00FF2996">
      <w:pPr>
        <w:pStyle w:val="ListParagraph"/>
        <w:numPr>
          <w:ilvl w:val="0"/>
          <w:numId w:val="6"/>
        </w:numPr>
        <w:jc w:val="both"/>
        <w:rPr>
          <w:rFonts w:ascii="Arial" w:hAnsi="Arial" w:cs="Arial"/>
        </w:rPr>
      </w:pPr>
      <w:r w:rsidRPr="00FF2996">
        <w:rPr>
          <w:rFonts w:ascii="Arial" w:hAnsi="Arial" w:cs="Arial"/>
        </w:rPr>
        <w:t>When the cost of the structure being constructed exceeds $3000, the contractor doing the work must possess either a TN General Contractor License or a TN Home Improvement License.  When the cost of the construction exceeds $25,000, the contractor must possess a TN General Contractor License.  When applying for a permit, please provide the name, address, telephone number and license number of the contractor doing the work.  This information is not required when the homeowner is doing the work.</w:t>
      </w:r>
    </w:p>
    <w:p w:rsidR="00335A67" w:rsidRPr="00FF2996" w:rsidRDefault="00335A67" w:rsidP="00FF2996">
      <w:pPr>
        <w:jc w:val="both"/>
        <w:rPr>
          <w:rFonts w:ascii="Arial" w:hAnsi="Arial" w:cs="Arial"/>
          <w:b/>
        </w:rPr>
      </w:pPr>
      <w:r w:rsidRPr="00FF2996">
        <w:rPr>
          <w:rFonts w:ascii="Arial" w:hAnsi="Arial" w:cs="Arial"/>
          <w:b/>
        </w:rPr>
        <w:t>P</w:t>
      </w:r>
      <w:r w:rsidR="00F3061C">
        <w:rPr>
          <w:rFonts w:ascii="Arial" w:hAnsi="Arial" w:cs="Arial"/>
          <w:b/>
        </w:rPr>
        <w:t>ermit Fees for Accessory Structures</w:t>
      </w:r>
      <w:r w:rsidRPr="00FF2996">
        <w:rPr>
          <w:rFonts w:ascii="Arial" w:hAnsi="Arial" w:cs="Arial"/>
          <w:b/>
        </w:rPr>
        <w:t>:</w:t>
      </w:r>
    </w:p>
    <w:p w:rsidR="00D04FA8" w:rsidRPr="00FF2996" w:rsidRDefault="00762562" w:rsidP="00FF2996">
      <w:pPr>
        <w:pStyle w:val="ListParagraph"/>
        <w:numPr>
          <w:ilvl w:val="0"/>
          <w:numId w:val="7"/>
        </w:numPr>
        <w:jc w:val="both"/>
        <w:rPr>
          <w:rFonts w:ascii="Arial" w:hAnsi="Arial" w:cs="Arial"/>
        </w:rPr>
      </w:pPr>
      <w:r>
        <w:rPr>
          <w:rFonts w:ascii="Arial" w:hAnsi="Arial" w:cs="Arial"/>
        </w:rPr>
        <w:t>400 square feet or less - $31.67</w:t>
      </w:r>
      <w:r w:rsidR="00335A67" w:rsidRPr="00FF2996">
        <w:rPr>
          <w:rFonts w:ascii="Arial" w:hAnsi="Arial" w:cs="Arial"/>
        </w:rPr>
        <w:t xml:space="preserve"> </w:t>
      </w:r>
    </w:p>
    <w:p w:rsidR="00335A67" w:rsidRPr="00FF2996" w:rsidRDefault="00335A67" w:rsidP="00FF2996">
      <w:pPr>
        <w:pStyle w:val="ListParagraph"/>
        <w:numPr>
          <w:ilvl w:val="0"/>
          <w:numId w:val="7"/>
        </w:numPr>
        <w:jc w:val="both"/>
        <w:rPr>
          <w:rFonts w:ascii="Arial" w:hAnsi="Arial" w:cs="Arial"/>
        </w:rPr>
      </w:pPr>
      <w:r w:rsidRPr="00FF2996">
        <w:rPr>
          <w:rFonts w:ascii="Arial" w:hAnsi="Arial" w:cs="Arial"/>
        </w:rPr>
        <w:t>401 square feet to 800 square feet - $58.33.</w:t>
      </w:r>
    </w:p>
    <w:p w:rsidR="00335A67" w:rsidRPr="00FF2996" w:rsidRDefault="00335A67" w:rsidP="00FF2996">
      <w:pPr>
        <w:pStyle w:val="ListParagraph"/>
        <w:numPr>
          <w:ilvl w:val="0"/>
          <w:numId w:val="7"/>
        </w:numPr>
        <w:jc w:val="both"/>
        <w:rPr>
          <w:rFonts w:ascii="Arial" w:hAnsi="Arial" w:cs="Arial"/>
        </w:rPr>
      </w:pPr>
      <w:r w:rsidRPr="00FF2996">
        <w:rPr>
          <w:rFonts w:ascii="Arial" w:hAnsi="Arial" w:cs="Arial"/>
        </w:rPr>
        <w:t>Over 800 square feet, 5 cents per square foot. Must add 33.33% to square foot cost and $5.00 data processing and surcharge fee.</w:t>
      </w:r>
    </w:p>
    <w:p w:rsidR="00F74487" w:rsidRDefault="00335A67" w:rsidP="00FF2996">
      <w:pPr>
        <w:pStyle w:val="ListParagraph"/>
        <w:numPr>
          <w:ilvl w:val="0"/>
          <w:numId w:val="7"/>
        </w:numPr>
        <w:jc w:val="both"/>
        <w:rPr>
          <w:rFonts w:ascii="Arial" w:hAnsi="Arial" w:cs="Arial"/>
        </w:rPr>
      </w:pPr>
      <w:r w:rsidRPr="00FF2996">
        <w:rPr>
          <w:rFonts w:ascii="Arial" w:hAnsi="Arial" w:cs="Arial"/>
        </w:rPr>
        <w:t>Permit fees are payable to Memphis/Shelby County Building Department for the above items</w:t>
      </w:r>
      <w:r w:rsidR="005D5219" w:rsidRPr="00FF2996">
        <w:rPr>
          <w:rFonts w:ascii="Arial" w:hAnsi="Arial" w:cs="Arial"/>
        </w:rPr>
        <w:t>. (Permit fees are subject to change).</w:t>
      </w:r>
      <w:r w:rsidR="00C17F05" w:rsidRPr="00FF2996">
        <w:rPr>
          <w:rFonts w:ascii="Arial" w:hAnsi="Arial" w:cs="Arial"/>
        </w:rPr>
        <w:t xml:space="preserve">  Please bring a blank check with you to the Department of</w:t>
      </w:r>
      <w:r w:rsidR="00CD5D5D" w:rsidRPr="00FF2996">
        <w:rPr>
          <w:rFonts w:ascii="Arial" w:hAnsi="Arial" w:cs="Arial"/>
        </w:rPr>
        <w:t xml:space="preserve"> </w:t>
      </w:r>
    </w:p>
    <w:p w:rsidR="00335A67" w:rsidRPr="00F74487" w:rsidRDefault="00CD5D5D" w:rsidP="00F74487">
      <w:pPr>
        <w:pStyle w:val="ListParagraph"/>
        <w:numPr>
          <w:ilvl w:val="0"/>
          <w:numId w:val="7"/>
        </w:numPr>
        <w:jc w:val="both"/>
        <w:rPr>
          <w:rFonts w:ascii="Arial" w:hAnsi="Arial" w:cs="Arial"/>
        </w:rPr>
      </w:pPr>
      <w:r w:rsidRPr="00F74487">
        <w:rPr>
          <w:rFonts w:ascii="Arial" w:hAnsi="Arial" w:cs="Arial"/>
        </w:rPr>
        <w:lastRenderedPageBreak/>
        <w:t xml:space="preserve">Economic and </w:t>
      </w:r>
      <w:r w:rsidR="00C17F05" w:rsidRPr="00F74487">
        <w:rPr>
          <w:rFonts w:ascii="Arial" w:hAnsi="Arial" w:cs="Arial"/>
        </w:rPr>
        <w:t>Community Development.  Approved applications will be mailed to the Memphis/Shelby County building department or they can be hand carried by the applicant.</w:t>
      </w:r>
    </w:p>
    <w:p w:rsidR="00C17F05" w:rsidRPr="00FF2996" w:rsidRDefault="00C17F05" w:rsidP="00FF2996">
      <w:pPr>
        <w:jc w:val="both"/>
        <w:rPr>
          <w:rFonts w:ascii="Arial" w:hAnsi="Arial" w:cs="Arial"/>
          <w:b/>
        </w:rPr>
      </w:pPr>
      <w:r w:rsidRPr="00FF2996">
        <w:rPr>
          <w:rFonts w:ascii="Arial" w:hAnsi="Arial" w:cs="Arial"/>
          <w:b/>
        </w:rPr>
        <w:t>L</w:t>
      </w:r>
      <w:r w:rsidR="0023782E" w:rsidRPr="00FF2996">
        <w:rPr>
          <w:rFonts w:ascii="Arial" w:hAnsi="Arial" w:cs="Arial"/>
          <w:b/>
        </w:rPr>
        <w:t xml:space="preserve">ocation, Size and Use Restrictions </w:t>
      </w:r>
      <w:r w:rsidR="0007270F">
        <w:rPr>
          <w:rFonts w:ascii="Arial" w:hAnsi="Arial" w:cs="Arial"/>
          <w:b/>
        </w:rPr>
        <w:t>f</w:t>
      </w:r>
      <w:r w:rsidR="0023782E" w:rsidRPr="00FF2996">
        <w:rPr>
          <w:rFonts w:ascii="Arial" w:hAnsi="Arial" w:cs="Arial"/>
          <w:b/>
        </w:rPr>
        <w:t>or Accessory Structures</w:t>
      </w:r>
      <w:r w:rsidRPr="00FF2996">
        <w:rPr>
          <w:rFonts w:ascii="Arial" w:hAnsi="Arial" w:cs="Arial"/>
          <w:b/>
        </w:rPr>
        <w:t>:</w:t>
      </w:r>
    </w:p>
    <w:p w:rsidR="00C17F05" w:rsidRPr="00FF2996" w:rsidRDefault="00C17F05" w:rsidP="00FF2996">
      <w:pPr>
        <w:pStyle w:val="ListParagraph"/>
        <w:numPr>
          <w:ilvl w:val="0"/>
          <w:numId w:val="8"/>
        </w:numPr>
        <w:jc w:val="both"/>
        <w:rPr>
          <w:rFonts w:ascii="Arial" w:hAnsi="Arial" w:cs="Arial"/>
        </w:rPr>
      </w:pPr>
      <w:r w:rsidRPr="00FF2996">
        <w:rPr>
          <w:rFonts w:ascii="Arial" w:hAnsi="Arial" w:cs="Arial"/>
        </w:rPr>
        <w:t>Accessory structures cannot extend beyond the front line of the principal building.</w:t>
      </w:r>
      <w:r w:rsidR="005D6EE3">
        <w:rPr>
          <w:rFonts w:ascii="Arial" w:hAnsi="Arial" w:cs="Arial"/>
        </w:rPr>
        <w:t xml:space="preserve">  On double frontage lots, accessory buildings/structures may be located between the principal building line and the non-accessible street provided there is a sight-proof fence along the non-accessible street and the accessory building/structure is located a distance equal to at least the height of the structure from all </w:t>
      </w:r>
      <w:proofErr w:type="spellStart"/>
      <w:r w:rsidR="005D6EE3">
        <w:rPr>
          <w:rFonts w:ascii="Arial" w:hAnsi="Arial" w:cs="Arial"/>
        </w:rPr>
        <w:t>lot</w:t>
      </w:r>
      <w:proofErr w:type="spellEnd"/>
      <w:r w:rsidR="005D6EE3">
        <w:rPr>
          <w:rFonts w:ascii="Arial" w:hAnsi="Arial" w:cs="Arial"/>
        </w:rPr>
        <w:t xml:space="preserve"> lines.</w:t>
      </w:r>
    </w:p>
    <w:p w:rsidR="00C17F05" w:rsidRPr="00FF2996" w:rsidRDefault="00AD233C" w:rsidP="00FF2996">
      <w:pPr>
        <w:pStyle w:val="ListParagraph"/>
        <w:numPr>
          <w:ilvl w:val="0"/>
          <w:numId w:val="8"/>
        </w:numPr>
        <w:jc w:val="both"/>
        <w:rPr>
          <w:rFonts w:ascii="Arial" w:hAnsi="Arial" w:cs="Arial"/>
        </w:rPr>
      </w:pPr>
      <w:r w:rsidRPr="00FF2996">
        <w:rPr>
          <w:rFonts w:ascii="Arial" w:hAnsi="Arial" w:cs="Arial"/>
        </w:rPr>
        <w:t xml:space="preserve">Accessory structures cannot extend into the </w:t>
      </w:r>
      <w:r w:rsidRPr="003B148A">
        <w:rPr>
          <w:rFonts w:ascii="Arial" w:hAnsi="Arial" w:cs="Arial"/>
          <w:b/>
        </w:rPr>
        <w:t>required side yard</w:t>
      </w:r>
      <w:r w:rsidR="003B148A" w:rsidRPr="003B148A">
        <w:rPr>
          <w:rFonts w:ascii="Arial" w:hAnsi="Arial" w:cs="Arial"/>
          <w:b/>
        </w:rPr>
        <w:t xml:space="preserve"> setback</w:t>
      </w:r>
      <w:r w:rsidRPr="00FF2996">
        <w:rPr>
          <w:rFonts w:ascii="Arial" w:hAnsi="Arial" w:cs="Arial"/>
        </w:rPr>
        <w:t>. (</w:t>
      </w:r>
      <w:r w:rsidR="00521CE1" w:rsidRPr="00FF2996">
        <w:rPr>
          <w:rFonts w:ascii="Arial" w:hAnsi="Arial" w:cs="Arial"/>
        </w:rPr>
        <w:t>A</w:t>
      </w:r>
      <w:r w:rsidRPr="00FF2996">
        <w:rPr>
          <w:rFonts w:ascii="Arial" w:hAnsi="Arial" w:cs="Arial"/>
        </w:rPr>
        <w:t>rea</w:t>
      </w:r>
      <w:r w:rsidR="00695BCC" w:rsidRPr="00FF2996">
        <w:rPr>
          <w:rFonts w:ascii="Arial" w:hAnsi="Arial" w:cs="Arial"/>
        </w:rPr>
        <w:t xml:space="preserve"> within</w:t>
      </w:r>
      <w:r w:rsidRPr="00FF2996">
        <w:rPr>
          <w:rFonts w:ascii="Arial" w:hAnsi="Arial" w:cs="Arial"/>
        </w:rPr>
        <w:t xml:space="preserve"> 10 feet </w:t>
      </w:r>
      <w:r w:rsidR="00695BCC" w:rsidRPr="00FF2996">
        <w:rPr>
          <w:rFonts w:ascii="Arial" w:hAnsi="Arial" w:cs="Arial"/>
        </w:rPr>
        <w:t>of</w:t>
      </w:r>
      <w:r w:rsidRPr="00FF2996">
        <w:rPr>
          <w:rFonts w:ascii="Arial" w:hAnsi="Arial" w:cs="Arial"/>
        </w:rPr>
        <w:t xml:space="preserve"> side property lines between the front line of the principal building and the rear</w:t>
      </w:r>
      <w:r w:rsidR="00521CE1" w:rsidRPr="00FF2996">
        <w:rPr>
          <w:rFonts w:ascii="Arial" w:hAnsi="Arial" w:cs="Arial"/>
        </w:rPr>
        <w:t xml:space="preserve"> line of the principal building on R, R-1, R-2 and R-3 lots.  On RE and RE-1 lots the </w:t>
      </w:r>
      <w:r w:rsidR="00521CE1" w:rsidRPr="003B148A">
        <w:rPr>
          <w:rFonts w:ascii="Arial" w:hAnsi="Arial" w:cs="Arial"/>
          <w:b/>
        </w:rPr>
        <w:t>required side yard</w:t>
      </w:r>
      <w:r w:rsidR="00521CE1" w:rsidRPr="00FF2996">
        <w:rPr>
          <w:rFonts w:ascii="Arial" w:hAnsi="Arial" w:cs="Arial"/>
        </w:rPr>
        <w:t xml:space="preserve"> </w:t>
      </w:r>
      <w:r w:rsidR="003B148A" w:rsidRPr="003B148A">
        <w:rPr>
          <w:rFonts w:ascii="Arial" w:hAnsi="Arial" w:cs="Arial"/>
          <w:b/>
        </w:rPr>
        <w:t>setback</w:t>
      </w:r>
      <w:r w:rsidR="00521CE1" w:rsidRPr="00FF2996">
        <w:rPr>
          <w:rFonts w:ascii="Arial" w:hAnsi="Arial" w:cs="Arial"/>
        </w:rPr>
        <w:t xml:space="preserve"> is the area</w:t>
      </w:r>
      <w:r w:rsidR="00695BCC" w:rsidRPr="00FF2996">
        <w:rPr>
          <w:rFonts w:ascii="Arial" w:hAnsi="Arial" w:cs="Arial"/>
        </w:rPr>
        <w:t xml:space="preserve"> within</w:t>
      </w:r>
      <w:r w:rsidR="00521CE1" w:rsidRPr="00FF2996">
        <w:rPr>
          <w:rFonts w:ascii="Arial" w:hAnsi="Arial" w:cs="Arial"/>
        </w:rPr>
        <w:t xml:space="preserve"> 25 feet </w:t>
      </w:r>
      <w:r w:rsidR="00695BCC" w:rsidRPr="00FF2996">
        <w:rPr>
          <w:rFonts w:ascii="Arial" w:hAnsi="Arial" w:cs="Arial"/>
        </w:rPr>
        <w:t>of</w:t>
      </w:r>
      <w:r w:rsidR="00521CE1" w:rsidRPr="00FF2996">
        <w:rPr>
          <w:rFonts w:ascii="Arial" w:hAnsi="Arial" w:cs="Arial"/>
        </w:rPr>
        <w:t xml:space="preserve"> the side property lines between the front line of the principal building and the rear line of the principal building).</w:t>
      </w:r>
    </w:p>
    <w:p w:rsidR="00F34BEF" w:rsidRPr="00FF2996" w:rsidRDefault="00F34BEF" w:rsidP="00FF2996">
      <w:pPr>
        <w:pStyle w:val="ListParagraph"/>
        <w:numPr>
          <w:ilvl w:val="0"/>
          <w:numId w:val="8"/>
        </w:numPr>
        <w:jc w:val="both"/>
        <w:rPr>
          <w:rFonts w:ascii="Arial" w:hAnsi="Arial" w:cs="Arial"/>
        </w:rPr>
      </w:pPr>
      <w:r w:rsidRPr="00FF2996">
        <w:rPr>
          <w:rFonts w:ascii="Arial" w:hAnsi="Arial" w:cs="Arial"/>
        </w:rPr>
        <w:t>Accessory structures 8 feet</w:t>
      </w:r>
      <w:r w:rsidR="00382722">
        <w:rPr>
          <w:rFonts w:ascii="Arial" w:hAnsi="Arial" w:cs="Arial"/>
        </w:rPr>
        <w:t xml:space="preserve"> tall</w:t>
      </w:r>
      <w:r w:rsidR="008C03F4">
        <w:rPr>
          <w:rFonts w:ascii="Arial" w:hAnsi="Arial" w:cs="Arial"/>
        </w:rPr>
        <w:t xml:space="preserve"> (8’)</w:t>
      </w:r>
      <w:r w:rsidRPr="00FF2996">
        <w:rPr>
          <w:rFonts w:ascii="Arial" w:hAnsi="Arial" w:cs="Arial"/>
        </w:rPr>
        <w:t xml:space="preserve"> or less </w:t>
      </w:r>
      <w:r w:rsidR="003B148A">
        <w:rPr>
          <w:rFonts w:ascii="Arial" w:hAnsi="Arial" w:cs="Arial"/>
        </w:rPr>
        <w:t>must</w:t>
      </w:r>
      <w:r w:rsidRPr="00FF2996">
        <w:rPr>
          <w:rFonts w:ascii="Arial" w:hAnsi="Arial" w:cs="Arial"/>
        </w:rPr>
        <w:t xml:space="preserve"> be located a minimum of three feet six inches (3’6”) from the rear and side property lines</w:t>
      </w:r>
      <w:r w:rsidR="00C65929" w:rsidRPr="00FF2996">
        <w:rPr>
          <w:rFonts w:ascii="Arial" w:hAnsi="Arial" w:cs="Arial"/>
        </w:rPr>
        <w:t xml:space="preserve"> and cannot be located within an easement</w:t>
      </w:r>
      <w:r w:rsidRPr="00FF2996">
        <w:rPr>
          <w:rFonts w:ascii="Arial" w:hAnsi="Arial" w:cs="Arial"/>
        </w:rPr>
        <w:t>. If the structure is more than eight feet</w:t>
      </w:r>
      <w:r w:rsidR="00382722">
        <w:rPr>
          <w:rFonts w:ascii="Arial" w:hAnsi="Arial" w:cs="Arial"/>
        </w:rPr>
        <w:t xml:space="preserve"> tall</w:t>
      </w:r>
      <w:r w:rsidRPr="00FF2996">
        <w:rPr>
          <w:rFonts w:ascii="Arial" w:hAnsi="Arial" w:cs="Arial"/>
        </w:rPr>
        <w:t xml:space="preserve"> (8’) it must be a minimum of the height of the structure away from the rear and side property lines</w:t>
      </w:r>
      <w:r w:rsidR="009F4AA8" w:rsidRPr="00FF2996">
        <w:rPr>
          <w:rFonts w:ascii="Arial" w:hAnsi="Arial" w:cs="Arial"/>
        </w:rPr>
        <w:t xml:space="preserve"> and cannot be located within a recorded easement</w:t>
      </w:r>
      <w:r w:rsidR="003B148A">
        <w:rPr>
          <w:rFonts w:ascii="Arial" w:hAnsi="Arial" w:cs="Arial"/>
        </w:rPr>
        <w:t xml:space="preserve"> or within the required side yard setback</w:t>
      </w:r>
      <w:r w:rsidRPr="00FF2996">
        <w:rPr>
          <w:rFonts w:ascii="Arial" w:hAnsi="Arial" w:cs="Arial"/>
        </w:rPr>
        <w:t xml:space="preserve">. </w:t>
      </w:r>
    </w:p>
    <w:p w:rsidR="009F4AA8" w:rsidRPr="00B72AF5" w:rsidRDefault="00485409" w:rsidP="00FF2996">
      <w:pPr>
        <w:pStyle w:val="ListParagraph"/>
        <w:numPr>
          <w:ilvl w:val="0"/>
          <w:numId w:val="8"/>
        </w:numPr>
        <w:jc w:val="both"/>
        <w:rPr>
          <w:rFonts w:ascii="Arial" w:hAnsi="Arial" w:cs="Arial"/>
          <w:u w:val="single"/>
        </w:rPr>
      </w:pPr>
      <w:r w:rsidRPr="00FF2996">
        <w:rPr>
          <w:rFonts w:ascii="Arial" w:hAnsi="Arial" w:cs="Arial"/>
        </w:rPr>
        <w:t>Any structure constructed in an easement is subject to removal for utility work with no compensation</w:t>
      </w:r>
      <w:r w:rsidR="000F666C" w:rsidRPr="00FF2996">
        <w:rPr>
          <w:rFonts w:ascii="Arial" w:hAnsi="Arial" w:cs="Arial"/>
        </w:rPr>
        <w:t xml:space="preserve"> to property owners.</w:t>
      </w:r>
    </w:p>
    <w:p w:rsidR="00B72AF5" w:rsidRPr="00B72AF5" w:rsidRDefault="00B72AF5" w:rsidP="00B72AF5">
      <w:pPr>
        <w:ind w:left="360"/>
        <w:jc w:val="both"/>
        <w:rPr>
          <w:rFonts w:ascii="Arial" w:hAnsi="Arial" w:cs="Arial"/>
          <w:u w:val="single"/>
        </w:rPr>
      </w:pPr>
    </w:p>
    <w:tbl>
      <w:tblPr>
        <w:tblStyle w:val="TableGrid"/>
        <w:tblW w:w="0" w:type="auto"/>
        <w:tblInd w:w="468" w:type="dxa"/>
        <w:tblLook w:val="04A0"/>
      </w:tblPr>
      <w:tblGrid>
        <w:gridCol w:w="4771"/>
        <w:gridCol w:w="5057"/>
      </w:tblGrid>
      <w:tr w:rsidR="00E15DBD" w:rsidTr="006C2B74">
        <w:tc>
          <w:tcPr>
            <w:tcW w:w="5040" w:type="dxa"/>
          </w:tcPr>
          <w:p w:rsidR="00E15DBD" w:rsidRPr="00E15DBD" w:rsidRDefault="00E15DBD" w:rsidP="006C2B74">
            <w:pPr>
              <w:jc w:val="center"/>
              <w:rPr>
                <w:rFonts w:ascii="Arial" w:hAnsi="Arial" w:cs="Arial"/>
                <w:b/>
              </w:rPr>
            </w:pPr>
            <w:r>
              <w:rPr>
                <w:rFonts w:ascii="Arial" w:hAnsi="Arial" w:cs="Arial"/>
                <w:b/>
              </w:rPr>
              <w:t xml:space="preserve">Minimum Distance Structures Must Be </w:t>
            </w:r>
            <w:r w:rsidR="006C2B74">
              <w:rPr>
                <w:rFonts w:ascii="Arial" w:hAnsi="Arial" w:cs="Arial"/>
                <w:b/>
              </w:rPr>
              <w:t>L</w:t>
            </w:r>
            <w:r>
              <w:rPr>
                <w:rFonts w:ascii="Arial" w:hAnsi="Arial" w:cs="Arial"/>
                <w:b/>
              </w:rPr>
              <w:t>ocated</w:t>
            </w:r>
          </w:p>
        </w:tc>
        <w:tc>
          <w:tcPr>
            <w:tcW w:w="5400" w:type="dxa"/>
          </w:tcPr>
          <w:p w:rsidR="00E15DBD" w:rsidRPr="00E15DBD" w:rsidRDefault="00E15DBD" w:rsidP="006C2B74">
            <w:pPr>
              <w:jc w:val="center"/>
              <w:rPr>
                <w:rFonts w:ascii="Arial" w:hAnsi="Arial" w:cs="Arial"/>
                <w:b/>
              </w:rPr>
            </w:pPr>
            <w:r>
              <w:rPr>
                <w:rFonts w:ascii="Arial" w:hAnsi="Arial" w:cs="Arial"/>
                <w:b/>
              </w:rPr>
              <w:t>R, R-1, R-2, R-3, RE, RE-1</w:t>
            </w:r>
          </w:p>
        </w:tc>
      </w:tr>
      <w:tr w:rsidR="00E15DBD" w:rsidTr="006C2B74">
        <w:trPr>
          <w:trHeight w:val="674"/>
        </w:trPr>
        <w:tc>
          <w:tcPr>
            <w:tcW w:w="5040" w:type="dxa"/>
          </w:tcPr>
          <w:p w:rsidR="00E15DBD" w:rsidRPr="00E15DBD" w:rsidRDefault="00E15DBD" w:rsidP="008C733B">
            <w:pPr>
              <w:pStyle w:val="ListParagraph"/>
              <w:numPr>
                <w:ilvl w:val="0"/>
                <w:numId w:val="16"/>
              </w:numPr>
              <w:rPr>
                <w:rFonts w:ascii="Arial" w:hAnsi="Arial" w:cs="Arial"/>
                <w:b/>
              </w:rPr>
            </w:pPr>
            <w:r>
              <w:rPr>
                <w:rFonts w:ascii="Arial" w:hAnsi="Arial" w:cs="Arial"/>
              </w:rPr>
              <w:t xml:space="preserve">Side </w:t>
            </w:r>
            <w:r w:rsidR="008C733B">
              <w:rPr>
                <w:rFonts w:ascii="Arial" w:hAnsi="Arial" w:cs="Arial"/>
              </w:rPr>
              <w:t xml:space="preserve">yard </w:t>
            </w:r>
            <w:r>
              <w:rPr>
                <w:rFonts w:ascii="Arial" w:hAnsi="Arial" w:cs="Arial"/>
              </w:rPr>
              <w:t>between the front and rear building lines of the principal building.</w:t>
            </w:r>
          </w:p>
        </w:tc>
        <w:tc>
          <w:tcPr>
            <w:tcW w:w="5400" w:type="dxa"/>
          </w:tcPr>
          <w:p w:rsidR="00E15DBD" w:rsidRPr="00E15DBD" w:rsidRDefault="00E15DBD" w:rsidP="008C733B">
            <w:pPr>
              <w:jc w:val="both"/>
              <w:rPr>
                <w:rFonts w:ascii="Arial" w:hAnsi="Arial" w:cs="Arial"/>
              </w:rPr>
            </w:pPr>
            <w:r w:rsidRPr="00E15DBD">
              <w:rPr>
                <w:rFonts w:ascii="Arial" w:hAnsi="Arial" w:cs="Arial"/>
              </w:rPr>
              <w:t xml:space="preserve">A distance equal to the height </w:t>
            </w:r>
            <w:r>
              <w:rPr>
                <w:rFonts w:ascii="Arial" w:hAnsi="Arial" w:cs="Arial"/>
              </w:rPr>
              <w:t xml:space="preserve">of the building, but not closer than </w:t>
            </w:r>
            <w:r w:rsidR="008C733B">
              <w:rPr>
                <w:rFonts w:ascii="Arial" w:hAnsi="Arial" w:cs="Arial"/>
              </w:rPr>
              <w:t xml:space="preserve">10 </w:t>
            </w:r>
            <w:r>
              <w:rPr>
                <w:rFonts w:ascii="Arial" w:hAnsi="Arial" w:cs="Arial"/>
              </w:rPr>
              <w:t>ft.</w:t>
            </w:r>
            <w:r w:rsidR="008C733B">
              <w:rPr>
                <w:rFonts w:ascii="Arial" w:hAnsi="Arial" w:cs="Arial"/>
              </w:rPr>
              <w:t xml:space="preserve"> from the side property line in R, R-1 ,R-2 and R-3 and 25 ft, from the side property line in RE and RE-1.</w:t>
            </w:r>
            <w:r>
              <w:rPr>
                <w:rFonts w:ascii="Arial" w:hAnsi="Arial" w:cs="Arial"/>
              </w:rPr>
              <w:t xml:space="preserve">  Structure may not be located in</w:t>
            </w:r>
            <w:r w:rsidR="008C733B">
              <w:rPr>
                <w:rFonts w:ascii="Arial" w:hAnsi="Arial" w:cs="Arial"/>
              </w:rPr>
              <w:t xml:space="preserve"> a</w:t>
            </w:r>
            <w:r>
              <w:rPr>
                <w:rFonts w:ascii="Arial" w:hAnsi="Arial" w:cs="Arial"/>
              </w:rPr>
              <w:t xml:space="preserve"> recorded easement.</w:t>
            </w:r>
          </w:p>
        </w:tc>
      </w:tr>
      <w:tr w:rsidR="00E15DBD" w:rsidTr="006C2B74">
        <w:tc>
          <w:tcPr>
            <w:tcW w:w="5040" w:type="dxa"/>
          </w:tcPr>
          <w:p w:rsidR="00E15DBD" w:rsidRPr="00E15DBD" w:rsidRDefault="00E15DBD" w:rsidP="006C2B74">
            <w:pPr>
              <w:pStyle w:val="ListParagraph"/>
              <w:numPr>
                <w:ilvl w:val="0"/>
                <w:numId w:val="16"/>
              </w:numPr>
              <w:rPr>
                <w:rFonts w:ascii="Arial" w:hAnsi="Arial" w:cs="Arial"/>
                <w:b/>
              </w:rPr>
            </w:pPr>
            <w:r>
              <w:rPr>
                <w:rFonts w:ascii="Arial" w:hAnsi="Arial" w:cs="Arial"/>
              </w:rPr>
              <w:t>Rear property line and side property line beyond the rear line of the principal building.</w:t>
            </w:r>
          </w:p>
        </w:tc>
        <w:tc>
          <w:tcPr>
            <w:tcW w:w="5400" w:type="dxa"/>
          </w:tcPr>
          <w:p w:rsidR="00E15DBD" w:rsidRPr="00E15DBD" w:rsidRDefault="00E15DBD" w:rsidP="006C2B74">
            <w:pPr>
              <w:jc w:val="both"/>
              <w:rPr>
                <w:rFonts w:ascii="Arial" w:hAnsi="Arial" w:cs="Arial"/>
              </w:rPr>
            </w:pPr>
            <w:r>
              <w:rPr>
                <w:rFonts w:ascii="Arial" w:hAnsi="Arial" w:cs="Arial"/>
              </w:rPr>
              <w:t>Structures 8 ft. or less can be a minimum of 3 ft. 6 in. from the rear and side property lines.  Structures</w:t>
            </w:r>
            <w:r w:rsidR="006C2B74">
              <w:rPr>
                <w:rFonts w:ascii="Arial" w:hAnsi="Arial" w:cs="Arial"/>
              </w:rPr>
              <w:t xml:space="preserve"> more than 8 ft. must be at least the height of the structure away from the rear and side property lines.</w:t>
            </w:r>
            <w:r w:rsidR="00E77920">
              <w:rPr>
                <w:rFonts w:ascii="Arial" w:hAnsi="Arial" w:cs="Arial"/>
              </w:rPr>
              <w:t xml:space="preserve"> Structure may not be located in a recorded easement.</w:t>
            </w:r>
          </w:p>
        </w:tc>
      </w:tr>
    </w:tbl>
    <w:p w:rsidR="005F45FA" w:rsidRPr="00FF2996" w:rsidRDefault="005F45FA" w:rsidP="00FF2996">
      <w:pPr>
        <w:jc w:val="both"/>
        <w:rPr>
          <w:rFonts w:ascii="Arial" w:hAnsi="Arial" w:cs="Arial"/>
          <w:b/>
          <w:u w:val="single"/>
        </w:rPr>
      </w:pPr>
    </w:p>
    <w:p w:rsidR="00DF5638" w:rsidRPr="00FF2996" w:rsidRDefault="00DF5638" w:rsidP="00FF2996">
      <w:pPr>
        <w:jc w:val="both"/>
        <w:rPr>
          <w:rFonts w:ascii="Arial" w:hAnsi="Arial" w:cs="Arial"/>
          <w:b/>
        </w:rPr>
      </w:pPr>
      <w:r w:rsidRPr="00FF2996">
        <w:rPr>
          <w:rFonts w:ascii="Arial" w:hAnsi="Arial" w:cs="Arial"/>
          <w:b/>
        </w:rPr>
        <w:t>Accessory Structure Size Limitations:</w:t>
      </w:r>
      <w:r w:rsidRPr="00FF2996">
        <w:rPr>
          <w:rFonts w:ascii="Arial" w:hAnsi="Arial" w:cs="Arial"/>
        </w:rPr>
        <w:tab/>
      </w:r>
      <w:r w:rsidRPr="00FF2996">
        <w:rPr>
          <w:rFonts w:ascii="Arial" w:hAnsi="Arial" w:cs="Arial"/>
        </w:rPr>
        <w:tab/>
      </w:r>
      <w:r w:rsidRPr="00FF2996">
        <w:rPr>
          <w:rFonts w:ascii="Arial" w:hAnsi="Arial" w:cs="Arial"/>
          <w:b/>
        </w:rPr>
        <w:t>R, R-1, R-2, R-3</w:t>
      </w:r>
    </w:p>
    <w:p w:rsidR="00DF5638" w:rsidRPr="00FF2996" w:rsidRDefault="00DF5638" w:rsidP="00FF2996">
      <w:pPr>
        <w:pStyle w:val="ListParagraph"/>
        <w:numPr>
          <w:ilvl w:val="0"/>
          <w:numId w:val="9"/>
        </w:numPr>
        <w:jc w:val="both"/>
        <w:rPr>
          <w:rFonts w:ascii="Arial" w:hAnsi="Arial" w:cs="Arial"/>
        </w:rPr>
      </w:pPr>
      <w:r w:rsidRPr="00FF2996">
        <w:rPr>
          <w:rFonts w:ascii="Arial" w:hAnsi="Arial" w:cs="Arial"/>
        </w:rPr>
        <w:t>Maximum height</w:t>
      </w:r>
      <w:r w:rsidRPr="00FF2996">
        <w:rPr>
          <w:rFonts w:ascii="Arial" w:hAnsi="Arial" w:cs="Arial"/>
        </w:rPr>
        <w:tab/>
      </w:r>
      <w:r w:rsidRPr="00FF2996">
        <w:rPr>
          <w:rFonts w:ascii="Arial" w:hAnsi="Arial" w:cs="Arial"/>
        </w:rPr>
        <w:tab/>
      </w:r>
      <w:r w:rsidRPr="00FF2996">
        <w:rPr>
          <w:rFonts w:ascii="Arial" w:hAnsi="Arial" w:cs="Arial"/>
        </w:rPr>
        <w:tab/>
      </w:r>
      <w:r w:rsidRPr="00FF2996">
        <w:rPr>
          <w:rFonts w:ascii="Arial" w:hAnsi="Arial" w:cs="Arial"/>
        </w:rPr>
        <w:tab/>
        <w:t xml:space="preserve">        20 ft.</w:t>
      </w:r>
    </w:p>
    <w:p w:rsidR="00DF5638" w:rsidRPr="00FF2996" w:rsidRDefault="00DF5638" w:rsidP="00FF2996">
      <w:pPr>
        <w:pStyle w:val="ListParagraph"/>
        <w:numPr>
          <w:ilvl w:val="0"/>
          <w:numId w:val="9"/>
        </w:numPr>
        <w:jc w:val="both"/>
        <w:rPr>
          <w:rFonts w:ascii="Arial" w:hAnsi="Arial" w:cs="Arial"/>
        </w:rPr>
      </w:pPr>
      <w:r w:rsidRPr="00FF2996">
        <w:rPr>
          <w:rFonts w:ascii="Arial" w:hAnsi="Arial" w:cs="Arial"/>
        </w:rPr>
        <w:t>Percentage of required rear</w:t>
      </w:r>
    </w:p>
    <w:p w:rsidR="00DF5638" w:rsidRPr="00FF2996" w:rsidRDefault="00DF5638" w:rsidP="00FF2996">
      <w:pPr>
        <w:pStyle w:val="ListParagraph"/>
        <w:jc w:val="both"/>
        <w:rPr>
          <w:rFonts w:ascii="Arial" w:hAnsi="Arial" w:cs="Arial"/>
        </w:rPr>
      </w:pPr>
      <w:proofErr w:type="gramStart"/>
      <w:r w:rsidRPr="00FF2996">
        <w:rPr>
          <w:rFonts w:ascii="Arial" w:hAnsi="Arial" w:cs="Arial"/>
        </w:rPr>
        <w:t>yard</w:t>
      </w:r>
      <w:proofErr w:type="gramEnd"/>
      <w:r w:rsidRPr="00FF2996">
        <w:rPr>
          <w:rFonts w:ascii="Arial" w:hAnsi="Arial" w:cs="Arial"/>
        </w:rPr>
        <w:t xml:space="preserve"> area that accessory</w:t>
      </w:r>
    </w:p>
    <w:p w:rsidR="00DF5638" w:rsidRPr="00FF2996" w:rsidRDefault="00DF5638" w:rsidP="00B72AF5">
      <w:pPr>
        <w:pStyle w:val="ListParagraph"/>
        <w:jc w:val="both"/>
        <w:rPr>
          <w:rFonts w:ascii="Arial" w:hAnsi="Arial" w:cs="Arial"/>
        </w:rPr>
      </w:pPr>
      <w:proofErr w:type="gramStart"/>
      <w:r w:rsidRPr="00FF2996">
        <w:rPr>
          <w:rFonts w:ascii="Arial" w:hAnsi="Arial" w:cs="Arial"/>
        </w:rPr>
        <w:t>building</w:t>
      </w:r>
      <w:proofErr w:type="gramEnd"/>
      <w:r w:rsidRPr="00FF2996">
        <w:rPr>
          <w:rFonts w:ascii="Arial" w:hAnsi="Arial" w:cs="Arial"/>
        </w:rPr>
        <w:t xml:space="preserve"> may cover</w:t>
      </w:r>
      <w:r w:rsidRPr="00FF2996">
        <w:rPr>
          <w:rFonts w:ascii="Arial" w:hAnsi="Arial" w:cs="Arial"/>
        </w:rPr>
        <w:tab/>
      </w:r>
      <w:r w:rsidRPr="00FF2996">
        <w:rPr>
          <w:rFonts w:ascii="Arial" w:hAnsi="Arial" w:cs="Arial"/>
        </w:rPr>
        <w:tab/>
      </w:r>
      <w:r w:rsidRPr="00FF2996">
        <w:rPr>
          <w:rFonts w:ascii="Arial" w:hAnsi="Arial" w:cs="Arial"/>
        </w:rPr>
        <w:tab/>
        <w:t xml:space="preserve">       </w:t>
      </w:r>
      <w:r w:rsidR="00FA0F49" w:rsidRPr="00FF2996">
        <w:rPr>
          <w:rFonts w:ascii="Arial" w:hAnsi="Arial" w:cs="Arial"/>
        </w:rPr>
        <w:t xml:space="preserve">             </w:t>
      </w:r>
      <w:r w:rsidRPr="00FF2996">
        <w:rPr>
          <w:rFonts w:ascii="Arial" w:hAnsi="Arial" w:cs="Arial"/>
        </w:rPr>
        <w:t xml:space="preserve"> 25%</w:t>
      </w:r>
    </w:p>
    <w:p w:rsidR="00DF5638" w:rsidRPr="00FF2996" w:rsidRDefault="00DF5638" w:rsidP="00FF2996">
      <w:pPr>
        <w:jc w:val="both"/>
        <w:rPr>
          <w:rFonts w:ascii="Arial" w:hAnsi="Arial" w:cs="Arial"/>
          <w:b/>
        </w:rPr>
      </w:pPr>
      <w:r w:rsidRPr="00FF2996">
        <w:rPr>
          <w:rFonts w:ascii="Arial" w:hAnsi="Arial" w:cs="Arial"/>
          <w:b/>
        </w:rPr>
        <w:t>Accessory Structure Size Limitations:</w:t>
      </w:r>
      <w:r w:rsidRPr="00FF2996">
        <w:rPr>
          <w:rFonts w:ascii="Arial" w:hAnsi="Arial" w:cs="Arial"/>
        </w:rPr>
        <w:tab/>
      </w:r>
      <w:r w:rsidRPr="00FF2996">
        <w:rPr>
          <w:rFonts w:ascii="Arial" w:hAnsi="Arial" w:cs="Arial"/>
        </w:rPr>
        <w:tab/>
        <w:t xml:space="preserve">    </w:t>
      </w:r>
      <w:r w:rsidRPr="00FF2996">
        <w:rPr>
          <w:rFonts w:ascii="Arial" w:hAnsi="Arial" w:cs="Arial"/>
          <w:b/>
        </w:rPr>
        <w:t>RE, RE-1</w:t>
      </w:r>
    </w:p>
    <w:p w:rsidR="00DF5638" w:rsidRPr="00FF2996" w:rsidRDefault="00DF5638" w:rsidP="00FF2996">
      <w:pPr>
        <w:pStyle w:val="ListParagraph"/>
        <w:numPr>
          <w:ilvl w:val="0"/>
          <w:numId w:val="10"/>
        </w:numPr>
        <w:jc w:val="both"/>
        <w:rPr>
          <w:rFonts w:ascii="Arial" w:hAnsi="Arial" w:cs="Arial"/>
        </w:rPr>
      </w:pPr>
      <w:r w:rsidRPr="00FF2996">
        <w:rPr>
          <w:rFonts w:ascii="Arial" w:hAnsi="Arial" w:cs="Arial"/>
        </w:rPr>
        <w:lastRenderedPageBreak/>
        <w:t>Maximum height</w:t>
      </w:r>
      <w:r w:rsidRPr="00FF2996">
        <w:rPr>
          <w:rFonts w:ascii="Arial" w:hAnsi="Arial" w:cs="Arial"/>
        </w:rPr>
        <w:tab/>
      </w:r>
      <w:r w:rsidRPr="00FF2996">
        <w:rPr>
          <w:rFonts w:ascii="Arial" w:hAnsi="Arial" w:cs="Arial"/>
        </w:rPr>
        <w:tab/>
      </w:r>
      <w:r w:rsidRPr="00FF2996">
        <w:rPr>
          <w:rFonts w:ascii="Arial" w:hAnsi="Arial" w:cs="Arial"/>
        </w:rPr>
        <w:tab/>
      </w:r>
      <w:r w:rsidRPr="00FF2996">
        <w:rPr>
          <w:rFonts w:ascii="Arial" w:hAnsi="Arial" w:cs="Arial"/>
        </w:rPr>
        <w:tab/>
        <w:t xml:space="preserve">        35 ft.</w:t>
      </w:r>
    </w:p>
    <w:p w:rsidR="00DF5638" w:rsidRPr="00FF2996" w:rsidRDefault="00DF5638" w:rsidP="00FF2996">
      <w:pPr>
        <w:pStyle w:val="ListParagraph"/>
        <w:numPr>
          <w:ilvl w:val="0"/>
          <w:numId w:val="10"/>
        </w:numPr>
        <w:jc w:val="both"/>
        <w:rPr>
          <w:rFonts w:ascii="Arial" w:hAnsi="Arial" w:cs="Arial"/>
        </w:rPr>
      </w:pPr>
      <w:r w:rsidRPr="00FF2996">
        <w:rPr>
          <w:rFonts w:ascii="Arial" w:hAnsi="Arial" w:cs="Arial"/>
        </w:rPr>
        <w:t>Percentage of required rear</w:t>
      </w:r>
    </w:p>
    <w:p w:rsidR="00DF5638" w:rsidRPr="00FF2996" w:rsidRDefault="00DF5638" w:rsidP="00FF2996">
      <w:pPr>
        <w:pStyle w:val="ListParagraph"/>
        <w:jc w:val="both"/>
        <w:rPr>
          <w:rFonts w:ascii="Arial" w:hAnsi="Arial" w:cs="Arial"/>
        </w:rPr>
      </w:pPr>
      <w:proofErr w:type="gramStart"/>
      <w:r w:rsidRPr="00FF2996">
        <w:rPr>
          <w:rFonts w:ascii="Arial" w:hAnsi="Arial" w:cs="Arial"/>
        </w:rPr>
        <w:t>yard</w:t>
      </w:r>
      <w:proofErr w:type="gramEnd"/>
      <w:r w:rsidRPr="00FF2996">
        <w:rPr>
          <w:rFonts w:ascii="Arial" w:hAnsi="Arial" w:cs="Arial"/>
        </w:rPr>
        <w:t xml:space="preserve"> area that accessory</w:t>
      </w:r>
    </w:p>
    <w:p w:rsidR="009F4AA8" w:rsidRPr="00B72AF5" w:rsidRDefault="00DF5638" w:rsidP="00B72AF5">
      <w:pPr>
        <w:pStyle w:val="ListParagraph"/>
        <w:jc w:val="both"/>
        <w:rPr>
          <w:rFonts w:ascii="Arial" w:hAnsi="Arial" w:cs="Arial"/>
        </w:rPr>
      </w:pPr>
      <w:proofErr w:type="gramStart"/>
      <w:r w:rsidRPr="00FF2996">
        <w:rPr>
          <w:rFonts w:ascii="Arial" w:hAnsi="Arial" w:cs="Arial"/>
        </w:rPr>
        <w:t>building</w:t>
      </w:r>
      <w:proofErr w:type="gramEnd"/>
      <w:r w:rsidRPr="00FF2996">
        <w:rPr>
          <w:rFonts w:ascii="Arial" w:hAnsi="Arial" w:cs="Arial"/>
        </w:rPr>
        <w:t xml:space="preserve"> may cover.</w:t>
      </w:r>
      <w:r w:rsidRPr="00FF2996">
        <w:rPr>
          <w:rFonts w:ascii="Arial" w:hAnsi="Arial" w:cs="Arial"/>
        </w:rPr>
        <w:tab/>
      </w:r>
      <w:r w:rsidRPr="00FF2996">
        <w:rPr>
          <w:rFonts w:ascii="Arial" w:hAnsi="Arial" w:cs="Arial"/>
        </w:rPr>
        <w:tab/>
      </w:r>
      <w:r w:rsidRPr="00FF2996">
        <w:rPr>
          <w:rFonts w:ascii="Arial" w:hAnsi="Arial" w:cs="Arial"/>
        </w:rPr>
        <w:tab/>
        <w:t xml:space="preserve">        </w:t>
      </w:r>
      <w:r w:rsidR="00FA0F49" w:rsidRPr="00FF2996">
        <w:rPr>
          <w:rFonts w:ascii="Arial" w:hAnsi="Arial" w:cs="Arial"/>
        </w:rPr>
        <w:tab/>
        <w:t xml:space="preserve">        </w:t>
      </w:r>
      <w:r w:rsidRPr="00FF2996">
        <w:rPr>
          <w:rFonts w:ascii="Arial" w:hAnsi="Arial" w:cs="Arial"/>
        </w:rPr>
        <w:t>10%</w:t>
      </w:r>
    </w:p>
    <w:p w:rsidR="00B72AF5" w:rsidRDefault="00B72AF5" w:rsidP="00FF2996">
      <w:pPr>
        <w:jc w:val="both"/>
        <w:rPr>
          <w:rFonts w:ascii="Arial" w:hAnsi="Arial" w:cs="Arial"/>
          <w:b/>
        </w:rPr>
      </w:pPr>
    </w:p>
    <w:p w:rsidR="00B72AF5" w:rsidRDefault="00B72AF5" w:rsidP="00FF2996">
      <w:pPr>
        <w:jc w:val="both"/>
        <w:rPr>
          <w:rFonts w:ascii="Arial" w:hAnsi="Arial" w:cs="Arial"/>
          <w:b/>
        </w:rPr>
      </w:pPr>
    </w:p>
    <w:p w:rsidR="00093A57" w:rsidRPr="0007270F" w:rsidRDefault="00093A57" w:rsidP="00FF2996">
      <w:pPr>
        <w:jc w:val="both"/>
        <w:rPr>
          <w:rFonts w:ascii="Arial" w:hAnsi="Arial" w:cs="Arial"/>
          <w:b/>
        </w:rPr>
      </w:pPr>
      <w:r w:rsidRPr="0007270F">
        <w:rPr>
          <w:rFonts w:ascii="Arial" w:hAnsi="Arial" w:cs="Arial"/>
          <w:b/>
        </w:rPr>
        <w:t>Accessory Structure Use:</w:t>
      </w:r>
    </w:p>
    <w:p w:rsidR="00093A57" w:rsidRPr="00A5020C" w:rsidRDefault="00093A57" w:rsidP="00FF2996">
      <w:pPr>
        <w:pStyle w:val="ListParagraph"/>
        <w:numPr>
          <w:ilvl w:val="0"/>
          <w:numId w:val="15"/>
        </w:numPr>
        <w:spacing w:after="0"/>
        <w:jc w:val="both"/>
        <w:rPr>
          <w:rFonts w:ascii="Arial" w:hAnsi="Arial" w:cs="Arial"/>
          <w:b/>
        </w:rPr>
      </w:pPr>
      <w:r w:rsidRPr="00A5020C">
        <w:rPr>
          <w:rFonts w:ascii="Arial" w:hAnsi="Arial" w:cs="Arial"/>
          <w:b/>
        </w:rPr>
        <w:t>Accessory structures cannot be used for habitable or abode purposes.</w:t>
      </w:r>
    </w:p>
    <w:p w:rsidR="00D04FA8" w:rsidRDefault="00CD47AF" w:rsidP="00FF2996">
      <w:pPr>
        <w:pStyle w:val="ListParagraph"/>
        <w:numPr>
          <w:ilvl w:val="0"/>
          <w:numId w:val="15"/>
        </w:numPr>
        <w:spacing w:after="0"/>
        <w:jc w:val="both"/>
        <w:rPr>
          <w:rFonts w:ascii="Arial" w:hAnsi="Arial" w:cs="Arial"/>
        </w:rPr>
      </w:pPr>
      <w:r w:rsidRPr="00FF2996">
        <w:rPr>
          <w:rFonts w:ascii="Arial" w:hAnsi="Arial" w:cs="Arial"/>
        </w:rPr>
        <w:t>A</w:t>
      </w:r>
      <w:r w:rsidR="00093A57" w:rsidRPr="00FF2996">
        <w:rPr>
          <w:rFonts w:ascii="Arial" w:hAnsi="Arial" w:cs="Arial"/>
        </w:rPr>
        <w:t>ccessory structures cannot be erected on vacant lots.</w:t>
      </w:r>
    </w:p>
    <w:p w:rsidR="00B72AF5" w:rsidRPr="00B72AF5" w:rsidRDefault="00B72AF5" w:rsidP="00B72AF5">
      <w:pPr>
        <w:spacing w:after="0"/>
        <w:jc w:val="both"/>
        <w:rPr>
          <w:rFonts w:ascii="Arial" w:hAnsi="Arial" w:cs="Arial"/>
        </w:rPr>
      </w:pPr>
    </w:p>
    <w:p w:rsidR="00DA223F" w:rsidRPr="0007270F" w:rsidRDefault="00DA223F" w:rsidP="00FF2996">
      <w:pPr>
        <w:jc w:val="both"/>
        <w:rPr>
          <w:rFonts w:ascii="Arial" w:hAnsi="Arial" w:cs="Arial"/>
        </w:rPr>
      </w:pPr>
      <w:r w:rsidRPr="0007270F">
        <w:rPr>
          <w:rFonts w:ascii="Arial" w:hAnsi="Arial" w:cs="Arial"/>
          <w:b/>
        </w:rPr>
        <w:t>Special Notes:</w:t>
      </w:r>
    </w:p>
    <w:p w:rsidR="00DA223F" w:rsidRPr="00FF2996" w:rsidRDefault="00DA223F" w:rsidP="00FF2996">
      <w:pPr>
        <w:pStyle w:val="ListParagraph"/>
        <w:numPr>
          <w:ilvl w:val="0"/>
          <w:numId w:val="13"/>
        </w:numPr>
        <w:jc w:val="both"/>
        <w:rPr>
          <w:rFonts w:ascii="Arial" w:hAnsi="Arial" w:cs="Arial"/>
        </w:rPr>
      </w:pPr>
      <w:r w:rsidRPr="00B72AF5">
        <w:rPr>
          <w:rFonts w:ascii="Arial" w:hAnsi="Arial" w:cs="Arial"/>
          <w:b/>
        </w:rPr>
        <w:t>Corner and Triple Frontage Lots</w:t>
      </w:r>
      <w:r w:rsidRPr="00FF2996">
        <w:rPr>
          <w:rFonts w:ascii="Arial" w:hAnsi="Arial" w:cs="Arial"/>
        </w:rPr>
        <w:t>: The front and side(s) of the principal building that are adjacent to and face the intersecting street(s) are classified as front lines of the building.</w:t>
      </w:r>
    </w:p>
    <w:p w:rsidR="00DA223F" w:rsidRPr="00FF2996" w:rsidRDefault="00DA223F" w:rsidP="00FF2996">
      <w:pPr>
        <w:pStyle w:val="ListParagraph"/>
        <w:numPr>
          <w:ilvl w:val="0"/>
          <w:numId w:val="13"/>
        </w:numPr>
        <w:jc w:val="both"/>
        <w:rPr>
          <w:rFonts w:ascii="Arial" w:hAnsi="Arial" w:cs="Arial"/>
        </w:rPr>
      </w:pPr>
      <w:r w:rsidRPr="00B72AF5">
        <w:rPr>
          <w:rFonts w:ascii="Arial" w:hAnsi="Arial" w:cs="Arial"/>
          <w:b/>
        </w:rPr>
        <w:t>Double Frontage Lots:</w:t>
      </w:r>
      <w:r w:rsidRPr="00FF2996">
        <w:rPr>
          <w:rFonts w:ascii="Arial" w:hAnsi="Arial" w:cs="Arial"/>
        </w:rPr>
        <w:t xml:space="preserve"> Both sides of the principal structure that are adjacent to and face the nonintersecting streets are classified as front lines of the building.</w:t>
      </w:r>
    </w:p>
    <w:p w:rsidR="00DA223F" w:rsidRPr="00FF2996" w:rsidRDefault="00B72AF5" w:rsidP="00FF2996">
      <w:pPr>
        <w:pStyle w:val="ListParagraph"/>
        <w:numPr>
          <w:ilvl w:val="0"/>
          <w:numId w:val="13"/>
        </w:numPr>
        <w:jc w:val="both"/>
        <w:rPr>
          <w:rFonts w:ascii="Arial" w:hAnsi="Arial" w:cs="Arial"/>
        </w:rPr>
      </w:pPr>
      <w:r>
        <w:rPr>
          <w:rFonts w:ascii="Arial" w:hAnsi="Arial" w:cs="Arial"/>
        </w:rPr>
        <w:t xml:space="preserve">Corner, </w:t>
      </w:r>
      <w:r w:rsidR="00DA223F" w:rsidRPr="00FF2996">
        <w:rPr>
          <w:rFonts w:ascii="Arial" w:hAnsi="Arial" w:cs="Arial"/>
        </w:rPr>
        <w:t xml:space="preserve">double frontage and triple frontage lots have two or more required front yards. </w:t>
      </w:r>
      <w:r w:rsidR="00BE7430" w:rsidRPr="00FF2996">
        <w:rPr>
          <w:rFonts w:ascii="Arial" w:hAnsi="Arial" w:cs="Arial"/>
        </w:rPr>
        <w:t>The yards adjacent to all streets are classified as front yards.  Structures cannot be located in any portion of the front yards except when approved by the Board of Zoning Appeals.</w:t>
      </w:r>
    </w:p>
    <w:p w:rsidR="00BE7430" w:rsidRPr="00FF2996" w:rsidRDefault="00BE7430" w:rsidP="00FF2996">
      <w:pPr>
        <w:pStyle w:val="ListParagraph"/>
        <w:numPr>
          <w:ilvl w:val="0"/>
          <w:numId w:val="13"/>
        </w:numPr>
        <w:jc w:val="both"/>
        <w:rPr>
          <w:rFonts w:ascii="Arial" w:hAnsi="Arial" w:cs="Arial"/>
        </w:rPr>
      </w:pPr>
      <w:r w:rsidRPr="00FF2996">
        <w:rPr>
          <w:rFonts w:ascii="Arial" w:hAnsi="Arial" w:cs="Arial"/>
        </w:rPr>
        <w:t>Property owners are responsible to check with subdivision restrictive covenants.  Covenants may be more restrictive than the City’s ordinance.  The City does not enforce covenants.</w:t>
      </w:r>
    </w:p>
    <w:p w:rsidR="00BE7430" w:rsidRDefault="00BE7430" w:rsidP="00FF2996">
      <w:pPr>
        <w:pStyle w:val="ListParagraph"/>
        <w:numPr>
          <w:ilvl w:val="0"/>
          <w:numId w:val="13"/>
        </w:numPr>
        <w:jc w:val="both"/>
        <w:rPr>
          <w:rFonts w:ascii="Arial" w:hAnsi="Arial" w:cs="Arial"/>
        </w:rPr>
      </w:pPr>
      <w:r w:rsidRPr="00FF2996">
        <w:rPr>
          <w:rFonts w:ascii="Arial" w:hAnsi="Arial" w:cs="Arial"/>
        </w:rPr>
        <w:t xml:space="preserve">Any conflicts between this Information Sheet and the Germantown Zoning </w:t>
      </w:r>
      <w:r w:rsidR="0014781B" w:rsidRPr="00FF2996">
        <w:rPr>
          <w:rFonts w:ascii="Arial" w:hAnsi="Arial" w:cs="Arial"/>
        </w:rPr>
        <w:t>Ordinance</w:t>
      </w:r>
      <w:r w:rsidRPr="00FF2996">
        <w:rPr>
          <w:rFonts w:ascii="Arial" w:hAnsi="Arial" w:cs="Arial"/>
        </w:rPr>
        <w:t xml:space="preserve"> will be resolved in favor of the Zoning Ordinance.</w:t>
      </w:r>
    </w:p>
    <w:p w:rsidR="00AB34E7" w:rsidRDefault="003E4412" w:rsidP="00FF2996">
      <w:pPr>
        <w:pStyle w:val="ListParagraph"/>
        <w:numPr>
          <w:ilvl w:val="0"/>
          <w:numId w:val="13"/>
        </w:numPr>
        <w:jc w:val="both"/>
        <w:rPr>
          <w:rFonts w:ascii="Arial" w:hAnsi="Arial" w:cs="Arial"/>
        </w:rPr>
      </w:pPr>
      <w:r>
        <w:rPr>
          <w:rFonts w:ascii="Arial" w:hAnsi="Arial" w:cs="Arial"/>
        </w:rPr>
        <w:t>When measuring the height of a structure</w:t>
      </w:r>
      <w:r w:rsidR="00B93D0A">
        <w:rPr>
          <w:rFonts w:ascii="Arial" w:hAnsi="Arial" w:cs="Arial"/>
        </w:rPr>
        <w:t xml:space="preserve"> </w:t>
      </w:r>
      <w:r>
        <w:rPr>
          <w:rFonts w:ascii="Arial" w:hAnsi="Arial" w:cs="Arial"/>
        </w:rPr>
        <w:t>if there is a change in the grade the height is calculated by averaging the two measurements.</w:t>
      </w:r>
    </w:p>
    <w:p w:rsidR="005E4696" w:rsidRDefault="005E4696" w:rsidP="00FF2996">
      <w:pPr>
        <w:pStyle w:val="ListParagraph"/>
        <w:numPr>
          <w:ilvl w:val="0"/>
          <w:numId w:val="13"/>
        </w:numPr>
        <w:jc w:val="both"/>
        <w:rPr>
          <w:rFonts w:ascii="Arial" w:hAnsi="Arial" w:cs="Arial"/>
        </w:rPr>
      </w:pPr>
      <w:r>
        <w:rPr>
          <w:rFonts w:ascii="Arial" w:hAnsi="Arial" w:cs="Arial"/>
        </w:rPr>
        <w:t>The City of Germantown contracts with the Memphis and Shelby County Office of Code Enforcement for building code compliance. There may be other restrictions in the Building Code that are not mentioned in this document.</w:t>
      </w:r>
    </w:p>
    <w:p w:rsidR="003E4412" w:rsidRPr="00FF2996" w:rsidRDefault="00AB34E7" w:rsidP="00FF2996">
      <w:pPr>
        <w:pStyle w:val="ListParagraph"/>
        <w:numPr>
          <w:ilvl w:val="0"/>
          <w:numId w:val="13"/>
        </w:numPr>
        <w:jc w:val="both"/>
        <w:rPr>
          <w:rFonts w:ascii="Arial" w:hAnsi="Arial" w:cs="Arial"/>
        </w:rPr>
      </w:pPr>
      <w:r>
        <w:rPr>
          <w:rFonts w:ascii="Arial" w:hAnsi="Arial" w:cs="Arial"/>
        </w:rPr>
        <w:t>Please make sure that you show all accessory structures on the property when you apply for a permit.</w:t>
      </w:r>
      <w:r w:rsidR="003E4412">
        <w:rPr>
          <w:rFonts w:ascii="Arial" w:hAnsi="Arial" w:cs="Arial"/>
        </w:rPr>
        <w:t xml:space="preserve"> </w:t>
      </w:r>
    </w:p>
    <w:p w:rsidR="00B81A13" w:rsidRPr="00FF2996" w:rsidRDefault="00BE7430" w:rsidP="00FF2996">
      <w:pPr>
        <w:jc w:val="both"/>
        <w:rPr>
          <w:rFonts w:ascii="Arial" w:hAnsi="Arial" w:cs="Arial"/>
        </w:rPr>
      </w:pPr>
      <w:r w:rsidRPr="00FF2996">
        <w:rPr>
          <w:rFonts w:ascii="Arial" w:hAnsi="Arial" w:cs="Arial"/>
        </w:rPr>
        <w:t>If you have any questions, please call</w:t>
      </w:r>
      <w:r w:rsidR="000C2CFF" w:rsidRPr="00FF2996">
        <w:rPr>
          <w:rFonts w:ascii="Arial" w:hAnsi="Arial" w:cs="Arial"/>
        </w:rPr>
        <w:t xml:space="preserve"> Code </w:t>
      </w:r>
      <w:r w:rsidR="00630A20">
        <w:rPr>
          <w:rFonts w:ascii="Arial" w:hAnsi="Arial" w:cs="Arial"/>
        </w:rPr>
        <w:t>Compliance</w:t>
      </w:r>
      <w:r w:rsidR="000C2CFF" w:rsidRPr="00FF2996">
        <w:rPr>
          <w:rFonts w:ascii="Arial" w:hAnsi="Arial" w:cs="Arial"/>
        </w:rPr>
        <w:t xml:space="preserve"> at</w:t>
      </w:r>
      <w:r w:rsidRPr="00FF2996">
        <w:rPr>
          <w:rFonts w:ascii="Arial" w:hAnsi="Arial" w:cs="Arial"/>
        </w:rPr>
        <w:t xml:space="preserve"> 757-7263</w:t>
      </w:r>
      <w:r w:rsidR="000C2CFF" w:rsidRPr="00FF2996">
        <w:rPr>
          <w:rFonts w:ascii="Arial" w:hAnsi="Arial" w:cs="Arial"/>
        </w:rPr>
        <w:t>.</w:t>
      </w:r>
    </w:p>
    <w:p w:rsidR="00B81A13" w:rsidRPr="00FF2996" w:rsidRDefault="00B81A13" w:rsidP="00FF2996">
      <w:pPr>
        <w:jc w:val="both"/>
        <w:rPr>
          <w:rFonts w:ascii="Arial" w:hAnsi="Arial" w:cs="Arial"/>
        </w:rPr>
      </w:pPr>
    </w:p>
    <w:p w:rsidR="00B72AF5" w:rsidRDefault="00B72AF5" w:rsidP="00FF2996">
      <w:pPr>
        <w:jc w:val="both"/>
        <w:rPr>
          <w:rFonts w:ascii="Arial" w:hAnsi="Arial" w:cs="Arial"/>
        </w:rPr>
      </w:pPr>
    </w:p>
    <w:p w:rsidR="00B72AF5" w:rsidRDefault="00B72AF5" w:rsidP="00FF2996">
      <w:pPr>
        <w:jc w:val="both"/>
        <w:rPr>
          <w:rFonts w:ascii="Arial" w:hAnsi="Arial" w:cs="Arial"/>
        </w:rPr>
      </w:pPr>
    </w:p>
    <w:p w:rsidR="00B72AF5" w:rsidRDefault="00B72AF5" w:rsidP="00FF2996">
      <w:pPr>
        <w:jc w:val="both"/>
        <w:rPr>
          <w:rFonts w:ascii="Arial" w:hAnsi="Arial" w:cs="Arial"/>
        </w:rPr>
      </w:pPr>
    </w:p>
    <w:p w:rsidR="00B72AF5" w:rsidRDefault="00B72AF5" w:rsidP="00FF2996">
      <w:pPr>
        <w:jc w:val="both"/>
        <w:rPr>
          <w:rFonts w:ascii="Arial" w:hAnsi="Arial" w:cs="Arial"/>
        </w:rPr>
      </w:pPr>
    </w:p>
    <w:p w:rsidR="00D3778D" w:rsidRDefault="00F74487" w:rsidP="00FF2996">
      <w:pPr>
        <w:jc w:val="both"/>
        <w:rPr>
          <w:rFonts w:ascii="Arial" w:hAnsi="Arial" w:cs="Arial"/>
        </w:rPr>
      </w:pPr>
      <w:r>
        <w:rPr>
          <w:rFonts w:ascii="Arial" w:hAnsi="Arial" w:cs="Arial"/>
        </w:rPr>
        <w:t>Rev 10/17</w:t>
      </w:r>
    </w:p>
    <w:p w:rsidR="00DF5638" w:rsidRPr="00DF5638" w:rsidRDefault="006568B3" w:rsidP="00B72AF5">
      <w:pPr>
        <w:rPr>
          <w:rFonts w:ascii="Arial" w:hAnsi="Arial" w:cs="Arial"/>
          <w:sz w:val="18"/>
          <w:szCs w:val="18"/>
        </w:rPr>
      </w:pPr>
      <w:r>
        <w:rPr>
          <w:rFonts w:ascii="Arial" w:hAnsi="Arial" w:cs="Arial"/>
          <w:noProof/>
          <w:sz w:val="18"/>
          <w:szCs w:val="18"/>
        </w:rPr>
        <w:lastRenderedPageBreak/>
        <w:drawing>
          <wp:inline distT="0" distB="0" distL="0" distR="0">
            <wp:extent cx="5943600" cy="769404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943600" cy="7694048"/>
                    </a:xfrm>
                    <a:prstGeom prst="rect">
                      <a:avLst/>
                    </a:prstGeom>
                    <a:noFill/>
                    <a:ln w="9525">
                      <a:noFill/>
                      <a:miter lim="800000"/>
                      <a:headEnd/>
                      <a:tailEnd/>
                    </a:ln>
                  </pic:spPr>
                </pic:pic>
              </a:graphicData>
            </a:graphic>
          </wp:inline>
        </w:drawing>
      </w:r>
    </w:p>
    <w:sectPr w:rsidR="00DF5638" w:rsidRPr="00DF5638" w:rsidSect="00B72AF5">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2EAA"/>
    <w:multiLevelType w:val="hybridMultilevel"/>
    <w:tmpl w:val="9904A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84568"/>
    <w:multiLevelType w:val="hybridMultilevel"/>
    <w:tmpl w:val="86981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B6F47"/>
    <w:multiLevelType w:val="hybridMultilevel"/>
    <w:tmpl w:val="CD54C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10057"/>
    <w:multiLevelType w:val="hybridMultilevel"/>
    <w:tmpl w:val="9294A6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6E22DD"/>
    <w:multiLevelType w:val="hybridMultilevel"/>
    <w:tmpl w:val="04407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9D2136"/>
    <w:multiLevelType w:val="hybridMultilevel"/>
    <w:tmpl w:val="A394D0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A256EA"/>
    <w:multiLevelType w:val="hybridMultilevel"/>
    <w:tmpl w:val="7F9A9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AE2679"/>
    <w:multiLevelType w:val="hybridMultilevel"/>
    <w:tmpl w:val="F97E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553713"/>
    <w:multiLevelType w:val="hybridMultilevel"/>
    <w:tmpl w:val="F954D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037953"/>
    <w:multiLevelType w:val="hybridMultilevel"/>
    <w:tmpl w:val="89400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78503D"/>
    <w:multiLevelType w:val="hybridMultilevel"/>
    <w:tmpl w:val="A6FCA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365383"/>
    <w:multiLevelType w:val="hybridMultilevel"/>
    <w:tmpl w:val="390E3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7F0407"/>
    <w:multiLevelType w:val="hybridMultilevel"/>
    <w:tmpl w:val="09B84E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53381E"/>
    <w:multiLevelType w:val="hybridMultilevel"/>
    <w:tmpl w:val="17989D58"/>
    <w:lvl w:ilvl="0" w:tplc="F228A2E8">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4B8333A"/>
    <w:multiLevelType w:val="hybridMultilevel"/>
    <w:tmpl w:val="885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5101D4"/>
    <w:multiLevelType w:val="hybridMultilevel"/>
    <w:tmpl w:val="B25E3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7"/>
  </w:num>
  <w:num w:numId="5">
    <w:abstractNumId w:val="1"/>
  </w:num>
  <w:num w:numId="6">
    <w:abstractNumId w:val="13"/>
  </w:num>
  <w:num w:numId="7">
    <w:abstractNumId w:val="10"/>
  </w:num>
  <w:num w:numId="8">
    <w:abstractNumId w:val="15"/>
  </w:num>
  <w:num w:numId="9">
    <w:abstractNumId w:val="3"/>
  </w:num>
  <w:num w:numId="10">
    <w:abstractNumId w:val="5"/>
  </w:num>
  <w:num w:numId="11">
    <w:abstractNumId w:val="2"/>
  </w:num>
  <w:num w:numId="12">
    <w:abstractNumId w:val="9"/>
  </w:num>
  <w:num w:numId="13">
    <w:abstractNumId w:val="8"/>
  </w:num>
  <w:num w:numId="14">
    <w:abstractNumId w:val="11"/>
  </w:num>
  <w:num w:numId="15">
    <w:abstractNumId w:val="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drawingGridHorizontalSpacing w:val="110"/>
  <w:displayHorizontalDrawingGridEvery w:val="2"/>
  <w:characterSpacingControl w:val="doNotCompress"/>
  <w:compat/>
  <w:rsids>
    <w:rsidRoot w:val="00044EF9"/>
    <w:rsid w:val="00000443"/>
    <w:rsid w:val="00003292"/>
    <w:rsid w:val="00003C58"/>
    <w:rsid w:val="00004A53"/>
    <w:rsid w:val="00004FFA"/>
    <w:rsid w:val="00011B0E"/>
    <w:rsid w:val="0001236C"/>
    <w:rsid w:val="00013535"/>
    <w:rsid w:val="00014420"/>
    <w:rsid w:val="00014F80"/>
    <w:rsid w:val="000160EB"/>
    <w:rsid w:val="00020B64"/>
    <w:rsid w:val="00024FBD"/>
    <w:rsid w:val="00035731"/>
    <w:rsid w:val="00035F2D"/>
    <w:rsid w:val="0003609C"/>
    <w:rsid w:val="00036B44"/>
    <w:rsid w:val="00037153"/>
    <w:rsid w:val="00037C4E"/>
    <w:rsid w:val="00040B8B"/>
    <w:rsid w:val="00041782"/>
    <w:rsid w:val="000433C8"/>
    <w:rsid w:val="00043696"/>
    <w:rsid w:val="00044EF9"/>
    <w:rsid w:val="000461D5"/>
    <w:rsid w:val="00046F48"/>
    <w:rsid w:val="00050341"/>
    <w:rsid w:val="00050914"/>
    <w:rsid w:val="000516FA"/>
    <w:rsid w:val="00054675"/>
    <w:rsid w:val="000577B4"/>
    <w:rsid w:val="00057906"/>
    <w:rsid w:val="000579C1"/>
    <w:rsid w:val="00057BD2"/>
    <w:rsid w:val="00060FBF"/>
    <w:rsid w:val="000628DB"/>
    <w:rsid w:val="00066617"/>
    <w:rsid w:val="00067128"/>
    <w:rsid w:val="000723A1"/>
    <w:rsid w:val="0007270F"/>
    <w:rsid w:val="00072ED0"/>
    <w:rsid w:val="00073351"/>
    <w:rsid w:val="000761E3"/>
    <w:rsid w:val="000765AF"/>
    <w:rsid w:val="00076DFE"/>
    <w:rsid w:val="00077786"/>
    <w:rsid w:val="000808AC"/>
    <w:rsid w:val="00082198"/>
    <w:rsid w:val="00085494"/>
    <w:rsid w:val="00093A57"/>
    <w:rsid w:val="00095311"/>
    <w:rsid w:val="00095A2F"/>
    <w:rsid w:val="00096C84"/>
    <w:rsid w:val="00096DE3"/>
    <w:rsid w:val="000A084B"/>
    <w:rsid w:val="000A1F0B"/>
    <w:rsid w:val="000A2469"/>
    <w:rsid w:val="000A2CA8"/>
    <w:rsid w:val="000A317F"/>
    <w:rsid w:val="000A3B85"/>
    <w:rsid w:val="000A685F"/>
    <w:rsid w:val="000A69E7"/>
    <w:rsid w:val="000B0F59"/>
    <w:rsid w:val="000B206F"/>
    <w:rsid w:val="000B3754"/>
    <w:rsid w:val="000B5737"/>
    <w:rsid w:val="000B5E8D"/>
    <w:rsid w:val="000C001E"/>
    <w:rsid w:val="000C07C3"/>
    <w:rsid w:val="000C0D14"/>
    <w:rsid w:val="000C2186"/>
    <w:rsid w:val="000C2CFF"/>
    <w:rsid w:val="000C40D6"/>
    <w:rsid w:val="000C4961"/>
    <w:rsid w:val="000C6979"/>
    <w:rsid w:val="000C698A"/>
    <w:rsid w:val="000C6F4D"/>
    <w:rsid w:val="000C73FD"/>
    <w:rsid w:val="000D2B15"/>
    <w:rsid w:val="000D2D18"/>
    <w:rsid w:val="000D3EAA"/>
    <w:rsid w:val="000D41EE"/>
    <w:rsid w:val="000D59CC"/>
    <w:rsid w:val="000D6620"/>
    <w:rsid w:val="000D6630"/>
    <w:rsid w:val="000D6E68"/>
    <w:rsid w:val="000D7187"/>
    <w:rsid w:val="000D7B7E"/>
    <w:rsid w:val="000E1FB5"/>
    <w:rsid w:val="000E3D47"/>
    <w:rsid w:val="000E3DC7"/>
    <w:rsid w:val="000E4956"/>
    <w:rsid w:val="000E79FD"/>
    <w:rsid w:val="000F1C7D"/>
    <w:rsid w:val="000F21AB"/>
    <w:rsid w:val="000F2E20"/>
    <w:rsid w:val="000F33CC"/>
    <w:rsid w:val="000F47D8"/>
    <w:rsid w:val="000F4805"/>
    <w:rsid w:val="000F5FE4"/>
    <w:rsid w:val="000F666C"/>
    <w:rsid w:val="000F6783"/>
    <w:rsid w:val="000F72A8"/>
    <w:rsid w:val="00103217"/>
    <w:rsid w:val="0010423E"/>
    <w:rsid w:val="00105E31"/>
    <w:rsid w:val="0011017E"/>
    <w:rsid w:val="00110B53"/>
    <w:rsid w:val="001124C0"/>
    <w:rsid w:val="00113085"/>
    <w:rsid w:val="001135B6"/>
    <w:rsid w:val="00116579"/>
    <w:rsid w:val="00117B64"/>
    <w:rsid w:val="00117CAA"/>
    <w:rsid w:val="001209B7"/>
    <w:rsid w:val="00121F35"/>
    <w:rsid w:val="00123E1C"/>
    <w:rsid w:val="00125563"/>
    <w:rsid w:val="00126165"/>
    <w:rsid w:val="00126898"/>
    <w:rsid w:val="00127254"/>
    <w:rsid w:val="00130106"/>
    <w:rsid w:val="0013093C"/>
    <w:rsid w:val="00131094"/>
    <w:rsid w:val="0013194B"/>
    <w:rsid w:val="00133439"/>
    <w:rsid w:val="00133732"/>
    <w:rsid w:val="00134AED"/>
    <w:rsid w:val="001356C6"/>
    <w:rsid w:val="0013730D"/>
    <w:rsid w:val="00137CB5"/>
    <w:rsid w:val="00141A19"/>
    <w:rsid w:val="001429F4"/>
    <w:rsid w:val="0014781B"/>
    <w:rsid w:val="00150311"/>
    <w:rsid w:val="00153A61"/>
    <w:rsid w:val="001558C7"/>
    <w:rsid w:val="00156A52"/>
    <w:rsid w:val="00157121"/>
    <w:rsid w:val="00157DBF"/>
    <w:rsid w:val="001604C4"/>
    <w:rsid w:val="00166579"/>
    <w:rsid w:val="0017501A"/>
    <w:rsid w:val="0017696C"/>
    <w:rsid w:val="0018164B"/>
    <w:rsid w:val="00183F5F"/>
    <w:rsid w:val="0018442B"/>
    <w:rsid w:val="00185BD0"/>
    <w:rsid w:val="00190A4C"/>
    <w:rsid w:val="00190D77"/>
    <w:rsid w:val="00194D08"/>
    <w:rsid w:val="00195019"/>
    <w:rsid w:val="00195D99"/>
    <w:rsid w:val="001A08A9"/>
    <w:rsid w:val="001A0F01"/>
    <w:rsid w:val="001A222B"/>
    <w:rsid w:val="001A56A2"/>
    <w:rsid w:val="001A7C33"/>
    <w:rsid w:val="001B0C1C"/>
    <w:rsid w:val="001B20DB"/>
    <w:rsid w:val="001B4BAD"/>
    <w:rsid w:val="001B54F0"/>
    <w:rsid w:val="001B554C"/>
    <w:rsid w:val="001C1737"/>
    <w:rsid w:val="001C38D9"/>
    <w:rsid w:val="001C4BD2"/>
    <w:rsid w:val="001C4F5C"/>
    <w:rsid w:val="001D10C7"/>
    <w:rsid w:val="001D29F3"/>
    <w:rsid w:val="001D32B2"/>
    <w:rsid w:val="001D5622"/>
    <w:rsid w:val="001D61E6"/>
    <w:rsid w:val="001E0737"/>
    <w:rsid w:val="001E0BA4"/>
    <w:rsid w:val="001E23F8"/>
    <w:rsid w:val="001E2625"/>
    <w:rsid w:val="001E2683"/>
    <w:rsid w:val="001E517C"/>
    <w:rsid w:val="001E5D9D"/>
    <w:rsid w:val="001E6B71"/>
    <w:rsid w:val="001E74C2"/>
    <w:rsid w:val="001E7DA3"/>
    <w:rsid w:val="001F09EA"/>
    <w:rsid w:val="001F0D38"/>
    <w:rsid w:val="001F0FC4"/>
    <w:rsid w:val="001F17CF"/>
    <w:rsid w:val="001F274F"/>
    <w:rsid w:val="001F2906"/>
    <w:rsid w:val="001F3535"/>
    <w:rsid w:val="001F4B7A"/>
    <w:rsid w:val="00203AC1"/>
    <w:rsid w:val="00203CE8"/>
    <w:rsid w:val="00205CA8"/>
    <w:rsid w:val="002066BB"/>
    <w:rsid w:val="00210734"/>
    <w:rsid w:val="002107EF"/>
    <w:rsid w:val="002112E5"/>
    <w:rsid w:val="00215742"/>
    <w:rsid w:val="00215EDC"/>
    <w:rsid w:val="00217384"/>
    <w:rsid w:val="0022028B"/>
    <w:rsid w:val="00220FAE"/>
    <w:rsid w:val="002230EA"/>
    <w:rsid w:val="00224903"/>
    <w:rsid w:val="002272CF"/>
    <w:rsid w:val="0022751D"/>
    <w:rsid w:val="00227DD7"/>
    <w:rsid w:val="002305E4"/>
    <w:rsid w:val="002316E4"/>
    <w:rsid w:val="00233A2B"/>
    <w:rsid w:val="002341BA"/>
    <w:rsid w:val="00234228"/>
    <w:rsid w:val="00235EC4"/>
    <w:rsid w:val="00237621"/>
    <w:rsid w:val="0023782E"/>
    <w:rsid w:val="00240DA8"/>
    <w:rsid w:val="00240F2B"/>
    <w:rsid w:val="0024100E"/>
    <w:rsid w:val="00241B57"/>
    <w:rsid w:val="00242E27"/>
    <w:rsid w:val="002456CC"/>
    <w:rsid w:val="00247CCC"/>
    <w:rsid w:val="00250EFD"/>
    <w:rsid w:val="00251105"/>
    <w:rsid w:val="00251B5F"/>
    <w:rsid w:val="00251D82"/>
    <w:rsid w:val="00253D55"/>
    <w:rsid w:val="002568E6"/>
    <w:rsid w:val="0025734A"/>
    <w:rsid w:val="00261225"/>
    <w:rsid w:val="002630D0"/>
    <w:rsid w:val="00263540"/>
    <w:rsid w:val="00263E82"/>
    <w:rsid w:val="0027006D"/>
    <w:rsid w:val="0027259B"/>
    <w:rsid w:val="00273E2C"/>
    <w:rsid w:val="00282194"/>
    <w:rsid w:val="0028318C"/>
    <w:rsid w:val="00287272"/>
    <w:rsid w:val="00287513"/>
    <w:rsid w:val="00293ED9"/>
    <w:rsid w:val="00296394"/>
    <w:rsid w:val="00296F55"/>
    <w:rsid w:val="00297AF5"/>
    <w:rsid w:val="002A14E0"/>
    <w:rsid w:val="002A2F30"/>
    <w:rsid w:val="002B12F4"/>
    <w:rsid w:val="002B2821"/>
    <w:rsid w:val="002C0326"/>
    <w:rsid w:val="002C1316"/>
    <w:rsid w:val="002C3805"/>
    <w:rsid w:val="002C66F0"/>
    <w:rsid w:val="002D36A3"/>
    <w:rsid w:val="002D4022"/>
    <w:rsid w:val="002D7C3E"/>
    <w:rsid w:val="002E035A"/>
    <w:rsid w:val="002E0469"/>
    <w:rsid w:val="002E0B32"/>
    <w:rsid w:val="002E16AE"/>
    <w:rsid w:val="002E1C4B"/>
    <w:rsid w:val="002E3C8F"/>
    <w:rsid w:val="002E4A94"/>
    <w:rsid w:val="002E55C3"/>
    <w:rsid w:val="002E5987"/>
    <w:rsid w:val="002E7468"/>
    <w:rsid w:val="002E7EC3"/>
    <w:rsid w:val="002F0D19"/>
    <w:rsid w:val="002F0DB4"/>
    <w:rsid w:val="002F1B05"/>
    <w:rsid w:val="002F4ECE"/>
    <w:rsid w:val="002F5279"/>
    <w:rsid w:val="002F7596"/>
    <w:rsid w:val="00301BF7"/>
    <w:rsid w:val="003024B0"/>
    <w:rsid w:val="003041C4"/>
    <w:rsid w:val="0030658F"/>
    <w:rsid w:val="00307053"/>
    <w:rsid w:val="00312151"/>
    <w:rsid w:val="003126D8"/>
    <w:rsid w:val="00313393"/>
    <w:rsid w:val="00320009"/>
    <w:rsid w:val="00322652"/>
    <w:rsid w:val="00322A62"/>
    <w:rsid w:val="00330F9F"/>
    <w:rsid w:val="00331163"/>
    <w:rsid w:val="00333EA4"/>
    <w:rsid w:val="00334821"/>
    <w:rsid w:val="003349F2"/>
    <w:rsid w:val="00335A67"/>
    <w:rsid w:val="0033621F"/>
    <w:rsid w:val="00336D4F"/>
    <w:rsid w:val="00341FCE"/>
    <w:rsid w:val="003434AC"/>
    <w:rsid w:val="00344CE0"/>
    <w:rsid w:val="00345A7B"/>
    <w:rsid w:val="00346656"/>
    <w:rsid w:val="00351391"/>
    <w:rsid w:val="003514AF"/>
    <w:rsid w:val="0035270D"/>
    <w:rsid w:val="0035351D"/>
    <w:rsid w:val="00353891"/>
    <w:rsid w:val="003557F7"/>
    <w:rsid w:val="00355B6B"/>
    <w:rsid w:val="003634E9"/>
    <w:rsid w:val="0036587D"/>
    <w:rsid w:val="00366407"/>
    <w:rsid w:val="00366B20"/>
    <w:rsid w:val="0036717D"/>
    <w:rsid w:val="003671AD"/>
    <w:rsid w:val="00370E16"/>
    <w:rsid w:val="0037185E"/>
    <w:rsid w:val="003739C7"/>
    <w:rsid w:val="00374D53"/>
    <w:rsid w:val="003763E7"/>
    <w:rsid w:val="0037743C"/>
    <w:rsid w:val="00377AA4"/>
    <w:rsid w:val="003800BC"/>
    <w:rsid w:val="00381FC3"/>
    <w:rsid w:val="00382722"/>
    <w:rsid w:val="00382797"/>
    <w:rsid w:val="0038291F"/>
    <w:rsid w:val="00383726"/>
    <w:rsid w:val="003851B2"/>
    <w:rsid w:val="003867C9"/>
    <w:rsid w:val="0038686B"/>
    <w:rsid w:val="00390761"/>
    <w:rsid w:val="00393105"/>
    <w:rsid w:val="00393B00"/>
    <w:rsid w:val="00395562"/>
    <w:rsid w:val="00396C69"/>
    <w:rsid w:val="003A21D7"/>
    <w:rsid w:val="003A239D"/>
    <w:rsid w:val="003A5E05"/>
    <w:rsid w:val="003A5F16"/>
    <w:rsid w:val="003A6EC4"/>
    <w:rsid w:val="003A7E1C"/>
    <w:rsid w:val="003B0FEF"/>
    <w:rsid w:val="003B148A"/>
    <w:rsid w:val="003B2584"/>
    <w:rsid w:val="003B315D"/>
    <w:rsid w:val="003B3F99"/>
    <w:rsid w:val="003B4095"/>
    <w:rsid w:val="003B5D17"/>
    <w:rsid w:val="003B61A8"/>
    <w:rsid w:val="003B6800"/>
    <w:rsid w:val="003B71D7"/>
    <w:rsid w:val="003B7E26"/>
    <w:rsid w:val="003C4369"/>
    <w:rsid w:val="003C5AFA"/>
    <w:rsid w:val="003D1205"/>
    <w:rsid w:val="003D2D27"/>
    <w:rsid w:val="003D5B3A"/>
    <w:rsid w:val="003D7327"/>
    <w:rsid w:val="003E10D3"/>
    <w:rsid w:val="003E2878"/>
    <w:rsid w:val="003E4030"/>
    <w:rsid w:val="003E4412"/>
    <w:rsid w:val="003E5D2B"/>
    <w:rsid w:val="003E6758"/>
    <w:rsid w:val="003E6C29"/>
    <w:rsid w:val="003E74A3"/>
    <w:rsid w:val="003F031A"/>
    <w:rsid w:val="003F11B1"/>
    <w:rsid w:val="003F2290"/>
    <w:rsid w:val="003F4A8A"/>
    <w:rsid w:val="003F508F"/>
    <w:rsid w:val="003F5FF3"/>
    <w:rsid w:val="003F6552"/>
    <w:rsid w:val="003F6DFE"/>
    <w:rsid w:val="00401824"/>
    <w:rsid w:val="004025E5"/>
    <w:rsid w:val="00403324"/>
    <w:rsid w:val="00404522"/>
    <w:rsid w:val="004059EF"/>
    <w:rsid w:val="00406788"/>
    <w:rsid w:val="004067BC"/>
    <w:rsid w:val="00407D44"/>
    <w:rsid w:val="00410499"/>
    <w:rsid w:val="00411008"/>
    <w:rsid w:val="00411D68"/>
    <w:rsid w:val="00413FBF"/>
    <w:rsid w:val="00417385"/>
    <w:rsid w:val="00417836"/>
    <w:rsid w:val="004213D1"/>
    <w:rsid w:val="00422DB8"/>
    <w:rsid w:val="0043057A"/>
    <w:rsid w:val="00433186"/>
    <w:rsid w:val="00435491"/>
    <w:rsid w:val="00435DCF"/>
    <w:rsid w:val="004422A6"/>
    <w:rsid w:val="004430E5"/>
    <w:rsid w:val="00443FEE"/>
    <w:rsid w:val="00444000"/>
    <w:rsid w:val="00444AFB"/>
    <w:rsid w:val="00445B03"/>
    <w:rsid w:val="004467E0"/>
    <w:rsid w:val="0044687C"/>
    <w:rsid w:val="00450E0D"/>
    <w:rsid w:val="00451A10"/>
    <w:rsid w:val="00451F2B"/>
    <w:rsid w:val="0045261F"/>
    <w:rsid w:val="00452CF8"/>
    <w:rsid w:val="004549F7"/>
    <w:rsid w:val="0045536A"/>
    <w:rsid w:val="0045743F"/>
    <w:rsid w:val="0046015C"/>
    <w:rsid w:val="00460328"/>
    <w:rsid w:val="00460426"/>
    <w:rsid w:val="00464000"/>
    <w:rsid w:val="0046605D"/>
    <w:rsid w:val="004666E6"/>
    <w:rsid w:val="00466F76"/>
    <w:rsid w:val="004672B7"/>
    <w:rsid w:val="00470A76"/>
    <w:rsid w:val="00471AD8"/>
    <w:rsid w:val="00473093"/>
    <w:rsid w:val="004732A8"/>
    <w:rsid w:val="004749B9"/>
    <w:rsid w:val="00480681"/>
    <w:rsid w:val="00485409"/>
    <w:rsid w:val="00492721"/>
    <w:rsid w:val="0049310B"/>
    <w:rsid w:val="00495E9B"/>
    <w:rsid w:val="004961FD"/>
    <w:rsid w:val="0049776C"/>
    <w:rsid w:val="004977EC"/>
    <w:rsid w:val="004A08F3"/>
    <w:rsid w:val="004A22F5"/>
    <w:rsid w:val="004A238F"/>
    <w:rsid w:val="004A4CC3"/>
    <w:rsid w:val="004A4D00"/>
    <w:rsid w:val="004A6B89"/>
    <w:rsid w:val="004B147F"/>
    <w:rsid w:val="004B1746"/>
    <w:rsid w:val="004B28F0"/>
    <w:rsid w:val="004B409D"/>
    <w:rsid w:val="004C0222"/>
    <w:rsid w:val="004C096C"/>
    <w:rsid w:val="004C0ED0"/>
    <w:rsid w:val="004C14E2"/>
    <w:rsid w:val="004C2979"/>
    <w:rsid w:val="004C3A89"/>
    <w:rsid w:val="004C7A54"/>
    <w:rsid w:val="004C7CA4"/>
    <w:rsid w:val="004C7D65"/>
    <w:rsid w:val="004D0D68"/>
    <w:rsid w:val="004D1BE7"/>
    <w:rsid w:val="004D4720"/>
    <w:rsid w:val="004D5389"/>
    <w:rsid w:val="004D56E0"/>
    <w:rsid w:val="004D5775"/>
    <w:rsid w:val="004D67A6"/>
    <w:rsid w:val="004D6BDB"/>
    <w:rsid w:val="004D7B91"/>
    <w:rsid w:val="004E24E9"/>
    <w:rsid w:val="004E46B5"/>
    <w:rsid w:val="004E4ABF"/>
    <w:rsid w:val="004E734E"/>
    <w:rsid w:val="004F3366"/>
    <w:rsid w:val="004F461D"/>
    <w:rsid w:val="004F4768"/>
    <w:rsid w:val="004F5CA9"/>
    <w:rsid w:val="004F6B69"/>
    <w:rsid w:val="005000CD"/>
    <w:rsid w:val="00500323"/>
    <w:rsid w:val="00503507"/>
    <w:rsid w:val="00505C90"/>
    <w:rsid w:val="00507A57"/>
    <w:rsid w:val="00511FCD"/>
    <w:rsid w:val="00512827"/>
    <w:rsid w:val="00515E62"/>
    <w:rsid w:val="00517690"/>
    <w:rsid w:val="00520027"/>
    <w:rsid w:val="005207AC"/>
    <w:rsid w:val="005208C1"/>
    <w:rsid w:val="00521CE1"/>
    <w:rsid w:val="00521DA3"/>
    <w:rsid w:val="005231FD"/>
    <w:rsid w:val="00523562"/>
    <w:rsid w:val="00524E1F"/>
    <w:rsid w:val="00526576"/>
    <w:rsid w:val="00530534"/>
    <w:rsid w:val="00530FA8"/>
    <w:rsid w:val="00533231"/>
    <w:rsid w:val="00535886"/>
    <w:rsid w:val="00537286"/>
    <w:rsid w:val="00540A5B"/>
    <w:rsid w:val="005414F6"/>
    <w:rsid w:val="00543082"/>
    <w:rsid w:val="00543391"/>
    <w:rsid w:val="00545F83"/>
    <w:rsid w:val="00546332"/>
    <w:rsid w:val="0055024C"/>
    <w:rsid w:val="005503D5"/>
    <w:rsid w:val="00551E56"/>
    <w:rsid w:val="0055265C"/>
    <w:rsid w:val="00553564"/>
    <w:rsid w:val="0055392B"/>
    <w:rsid w:val="005545E2"/>
    <w:rsid w:val="005565CA"/>
    <w:rsid w:val="00556775"/>
    <w:rsid w:val="00557CDA"/>
    <w:rsid w:val="00557E2C"/>
    <w:rsid w:val="005650CA"/>
    <w:rsid w:val="00567F53"/>
    <w:rsid w:val="00570563"/>
    <w:rsid w:val="00571DD8"/>
    <w:rsid w:val="00573468"/>
    <w:rsid w:val="00575636"/>
    <w:rsid w:val="00580519"/>
    <w:rsid w:val="00582FF2"/>
    <w:rsid w:val="00583674"/>
    <w:rsid w:val="0058380A"/>
    <w:rsid w:val="00583C55"/>
    <w:rsid w:val="005864CD"/>
    <w:rsid w:val="005864FC"/>
    <w:rsid w:val="00586B76"/>
    <w:rsid w:val="00587648"/>
    <w:rsid w:val="00587801"/>
    <w:rsid w:val="00587DAB"/>
    <w:rsid w:val="00590565"/>
    <w:rsid w:val="00590A10"/>
    <w:rsid w:val="0059143A"/>
    <w:rsid w:val="005916D8"/>
    <w:rsid w:val="00591B54"/>
    <w:rsid w:val="00592202"/>
    <w:rsid w:val="0059370E"/>
    <w:rsid w:val="00593A0C"/>
    <w:rsid w:val="00594658"/>
    <w:rsid w:val="00595F27"/>
    <w:rsid w:val="00596FD9"/>
    <w:rsid w:val="00597826"/>
    <w:rsid w:val="005A092C"/>
    <w:rsid w:val="005A0B89"/>
    <w:rsid w:val="005A3951"/>
    <w:rsid w:val="005A5065"/>
    <w:rsid w:val="005A61F0"/>
    <w:rsid w:val="005A65EF"/>
    <w:rsid w:val="005A6B59"/>
    <w:rsid w:val="005A70E7"/>
    <w:rsid w:val="005B0DF3"/>
    <w:rsid w:val="005B182B"/>
    <w:rsid w:val="005B4C6C"/>
    <w:rsid w:val="005B5DC8"/>
    <w:rsid w:val="005B7E8D"/>
    <w:rsid w:val="005C0CFE"/>
    <w:rsid w:val="005C182D"/>
    <w:rsid w:val="005C1A1B"/>
    <w:rsid w:val="005C1DE2"/>
    <w:rsid w:val="005C24EB"/>
    <w:rsid w:val="005C34BC"/>
    <w:rsid w:val="005C39B2"/>
    <w:rsid w:val="005C49D5"/>
    <w:rsid w:val="005C66EB"/>
    <w:rsid w:val="005C7720"/>
    <w:rsid w:val="005D0B58"/>
    <w:rsid w:val="005D1AB3"/>
    <w:rsid w:val="005D2272"/>
    <w:rsid w:val="005D282B"/>
    <w:rsid w:val="005D2921"/>
    <w:rsid w:val="005D2D9B"/>
    <w:rsid w:val="005D35CC"/>
    <w:rsid w:val="005D4977"/>
    <w:rsid w:val="005D5219"/>
    <w:rsid w:val="005D6EE3"/>
    <w:rsid w:val="005D7457"/>
    <w:rsid w:val="005E0572"/>
    <w:rsid w:val="005E1C0E"/>
    <w:rsid w:val="005E2915"/>
    <w:rsid w:val="005E4696"/>
    <w:rsid w:val="005E5372"/>
    <w:rsid w:val="005E5873"/>
    <w:rsid w:val="005E599F"/>
    <w:rsid w:val="005E7A06"/>
    <w:rsid w:val="005F1F20"/>
    <w:rsid w:val="005F2303"/>
    <w:rsid w:val="005F2921"/>
    <w:rsid w:val="005F3E56"/>
    <w:rsid w:val="005F45FA"/>
    <w:rsid w:val="005F472B"/>
    <w:rsid w:val="005F5988"/>
    <w:rsid w:val="005F7E8F"/>
    <w:rsid w:val="006006B1"/>
    <w:rsid w:val="00600A3C"/>
    <w:rsid w:val="00602490"/>
    <w:rsid w:val="006035AF"/>
    <w:rsid w:val="00603B93"/>
    <w:rsid w:val="00603EA6"/>
    <w:rsid w:val="006040C8"/>
    <w:rsid w:val="006042EB"/>
    <w:rsid w:val="00604FDC"/>
    <w:rsid w:val="00605EFB"/>
    <w:rsid w:val="0060672C"/>
    <w:rsid w:val="0061183A"/>
    <w:rsid w:val="00615284"/>
    <w:rsid w:val="00616174"/>
    <w:rsid w:val="00616769"/>
    <w:rsid w:val="00621407"/>
    <w:rsid w:val="006228EB"/>
    <w:rsid w:val="006236CA"/>
    <w:rsid w:val="00624246"/>
    <w:rsid w:val="00624320"/>
    <w:rsid w:val="006276A5"/>
    <w:rsid w:val="00627CAC"/>
    <w:rsid w:val="00630A20"/>
    <w:rsid w:val="00633B29"/>
    <w:rsid w:val="00634B80"/>
    <w:rsid w:val="00641E00"/>
    <w:rsid w:val="00643F18"/>
    <w:rsid w:val="006447D0"/>
    <w:rsid w:val="00644845"/>
    <w:rsid w:val="006448E8"/>
    <w:rsid w:val="00645024"/>
    <w:rsid w:val="0064552C"/>
    <w:rsid w:val="006456A3"/>
    <w:rsid w:val="0065062B"/>
    <w:rsid w:val="00651F88"/>
    <w:rsid w:val="00652D41"/>
    <w:rsid w:val="0065534C"/>
    <w:rsid w:val="00655838"/>
    <w:rsid w:val="006568B3"/>
    <w:rsid w:val="00657E7A"/>
    <w:rsid w:val="00657F89"/>
    <w:rsid w:val="00661FC2"/>
    <w:rsid w:val="006624C9"/>
    <w:rsid w:val="00662953"/>
    <w:rsid w:val="00662B4E"/>
    <w:rsid w:val="006637F6"/>
    <w:rsid w:val="006637FF"/>
    <w:rsid w:val="00665364"/>
    <w:rsid w:val="0066719B"/>
    <w:rsid w:val="006705D6"/>
    <w:rsid w:val="00670870"/>
    <w:rsid w:val="00670FC5"/>
    <w:rsid w:val="006727B3"/>
    <w:rsid w:val="00672E45"/>
    <w:rsid w:val="0067367D"/>
    <w:rsid w:val="00675AA8"/>
    <w:rsid w:val="00677E2C"/>
    <w:rsid w:val="00682006"/>
    <w:rsid w:val="006840DB"/>
    <w:rsid w:val="006851CA"/>
    <w:rsid w:val="00690314"/>
    <w:rsid w:val="0069084A"/>
    <w:rsid w:val="00691DD5"/>
    <w:rsid w:val="00692F11"/>
    <w:rsid w:val="006930AD"/>
    <w:rsid w:val="0069329C"/>
    <w:rsid w:val="0069540A"/>
    <w:rsid w:val="00695BCC"/>
    <w:rsid w:val="0069607B"/>
    <w:rsid w:val="006966DD"/>
    <w:rsid w:val="006A279E"/>
    <w:rsid w:val="006A313B"/>
    <w:rsid w:val="006A4387"/>
    <w:rsid w:val="006A5059"/>
    <w:rsid w:val="006B20EF"/>
    <w:rsid w:val="006B4E57"/>
    <w:rsid w:val="006B5274"/>
    <w:rsid w:val="006B6CF8"/>
    <w:rsid w:val="006B795C"/>
    <w:rsid w:val="006C1F82"/>
    <w:rsid w:val="006C2B74"/>
    <w:rsid w:val="006C61C4"/>
    <w:rsid w:val="006C7601"/>
    <w:rsid w:val="006D0334"/>
    <w:rsid w:val="006D064D"/>
    <w:rsid w:val="006D0A22"/>
    <w:rsid w:val="006D0E16"/>
    <w:rsid w:val="006D27E3"/>
    <w:rsid w:val="006D2CD0"/>
    <w:rsid w:val="006D304A"/>
    <w:rsid w:val="006E20F5"/>
    <w:rsid w:val="006E2812"/>
    <w:rsid w:val="006E28B4"/>
    <w:rsid w:val="006E3A37"/>
    <w:rsid w:val="006E5A74"/>
    <w:rsid w:val="006E6D57"/>
    <w:rsid w:val="006F0D1F"/>
    <w:rsid w:val="006F115C"/>
    <w:rsid w:val="006F1232"/>
    <w:rsid w:val="006F17B6"/>
    <w:rsid w:val="006F338B"/>
    <w:rsid w:val="006F483D"/>
    <w:rsid w:val="006F4D45"/>
    <w:rsid w:val="006F568E"/>
    <w:rsid w:val="006F62D2"/>
    <w:rsid w:val="006F7CB2"/>
    <w:rsid w:val="00701E0E"/>
    <w:rsid w:val="00710A13"/>
    <w:rsid w:val="00710AFC"/>
    <w:rsid w:val="00711231"/>
    <w:rsid w:val="0071251D"/>
    <w:rsid w:val="00716B89"/>
    <w:rsid w:val="00717AF7"/>
    <w:rsid w:val="007218AA"/>
    <w:rsid w:val="007231AE"/>
    <w:rsid w:val="00723E0F"/>
    <w:rsid w:val="00724C03"/>
    <w:rsid w:val="00727BD3"/>
    <w:rsid w:val="007315CD"/>
    <w:rsid w:val="00731E0B"/>
    <w:rsid w:val="00732142"/>
    <w:rsid w:val="00732209"/>
    <w:rsid w:val="007322A2"/>
    <w:rsid w:val="007326E3"/>
    <w:rsid w:val="0073310D"/>
    <w:rsid w:val="007357F5"/>
    <w:rsid w:val="00735833"/>
    <w:rsid w:val="0073587C"/>
    <w:rsid w:val="0073641C"/>
    <w:rsid w:val="00737695"/>
    <w:rsid w:val="007418F6"/>
    <w:rsid w:val="007449BF"/>
    <w:rsid w:val="007450BE"/>
    <w:rsid w:val="007466FC"/>
    <w:rsid w:val="00752027"/>
    <w:rsid w:val="00752484"/>
    <w:rsid w:val="00756B0B"/>
    <w:rsid w:val="007603F4"/>
    <w:rsid w:val="00761B75"/>
    <w:rsid w:val="00761FB8"/>
    <w:rsid w:val="00762562"/>
    <w:rsid w:val="00763C20"/>
    <w:rsid w:val="007655B7"/>
    <w:rsid w:val="00765C0E"/>
    <w:rsid w:val="007674A9"/>
    <w:rsid w:val="0077132B"/>
    <w:rsid w:val="00771629"/>
    <w:rsid w:val="007741C7"/>
    <w:rsid w:val="0077517D"/>
    <w:rsid w:val="00775C8E"/>
    <w:rsid w:val="00775ED4"/>
    <w:rsid w:val="00780AC1"/>
    <w:rsid w:val="00781595"/>
    <w:rsid w:val="0078229A"/>
    <w:rsid w:val="007824EF"/>
    <w:rsid w:val="00782AEB"/>
    <w:rsid w:val="00785113"/>
    <w:rsid w:val="00785FB7"/>
    <w:rsid w:val="0079050E"/>
    <w:rsid w:val="00791D2C"/>
    <w:rsid w:val="00792472"/>
    <w:rsid w:val="007928BD"/>
    <w:rsid w:val="007945F6"/>
    <w:rsid w:val="00794A25"/>
    <w:rsid w:val="00794D48"/>
    <w:rsid w:val="007962C8"/>
    <w:rsid w:val="007967C9"/>
    <w:rsid w:val="00797759"/>
    <w:rsid w:val="007A0DB7"/>
    <w:rsid w:val="007A0DBF"/>
    <w:rsid w:val="007A1402"/>
    <w:rsid w:val="007A1AD3"/>
    <w:rsid w:val="007A214B"/>
    <w:rsid w:val="007A444A"/>
    <w:rsid w:val="007A6403"/>
    <w:rsid w:val="007A6517"/>
    <w:rsid w:val="007A78D1"/>
    <w:rsid w:val="007B137E"/>
    <w:rsid w:val="007B3D2B"/>
    <w:rsid w:val="007B5431"/>
    <w:rsid w:val="007C2282"/>
    <w:rsid w:val="007C2CEF"/>
    <w:rsid w:val="007C36DC"/>
    <w:rsid w:val="007C7788"/>
    <w:rsid w:val="007D1DC8"/>
    <w:rsid w:val="007D216B"/>
    <w:rsid w:val="007D2267"/>
    <w:rsid w:val="007D22BF"/>
    <w:rsid w:val="007D3BEF"/>
    <w:rsid w:val="007D6DC1"/>
    <w:rsid w:val="007D6E52"/>
    <w:rsid w:val="007E0AF5"/>
    <w:rsid w:val="007E5225"/>
    <w:rsid w:val="007F1D78"/>
    <w:rsid w:val="007F30BF"/>
    <w:rsid w:val="007F7D99"/>
    <w:rsid w:val="008019C5"/>
    <w:rsid w:val="00801E39"/>
    <w:rsid w:val="00802145"/>
    <w:rsid w:val="00803287"/>
    <w:rsid w:val="00803C9D"/>
    <w:rsid w:val="0080439B"/>
    <w:rsid w:val="00804B07"/>
    <w:rsid w:val="00805A9C"/>
    <w:rsid w:val="00806496"/>
    <w:rsid w:val="00806A69"/>
    <w:rsid w:val="00810270"/>
    <w:rsid w:val="00813BEB"/>
    <w:rsid w:val="00814022"/>
    <w:rsid w:val="008168E7"/>
    <w:rsid w:val="00817CB6"/>
    <w:rsid w:val="00822367"/>
    <w:rsid w:val="00822A5E"/>
    <w:rsid w:val="00824F04"/>
    <w:rsid w:val="00826687"/>
    <w:rsid w:val="0082770F"/>
    <w:rsid w:val="00830D56"/>
    <w:rsid w:val="0083218A"/>
    <w:rsid w:val="00832358"/>
    <w:rsid w:val="0083564E"/>
    <w:rsid w:val="008376F6"/>
    <w:rsid w:val="0084233E"/>
    <w:rsid w:val="00843C69"/>
    <w:rsid w:val="00847309"/>
    <w:rsid w:val="00850EBB"/>
    <w:rsid w:val="00850FE4"/>
    <w:rsid w:val="00852F08"/>
    <w:rsid w:val="008536C3"/>
    <w:rsid w:val="00853969"/>
    <w:rsid w:val="00856022"/>
    <w:rsid w:val="008562A5"/>
    <w:rsid w:val="00860847"/>
    <w:rsid w:val="008635A4"/>
    <w:rsid w:val="00863732"/>
    <w:rsid w:val="00863D45"/>
    <w:rsid w:val="0086419C"/>
    <w:rsid w:val="00867DEC"/>
    <w:rsid w:val="0087438B"/>
    <w:rsid w:val="00874570"/>
    <w:rsid w:val="008747F0"/>
    <w:rsid w:val="00875EDB"/>
    <w:rsid w:val="00881355"/>
    <w:rsid w:val="008846C3"/>
    <w:rsid w:val="00884DF1"/>
    <w:rsid w:val="008854DD"/>
    <w:rsid w:val="00887975"/>
    <w:rsid w:val="00891B59"/>
    <w:rsid w:val="008921BB"/>
    <w:rsid w:val="0089297E"/>
    <w:rsid w:val="00893EDF"/>
    <w:rsid w:val="00894AE6"/>
    <w:rsid w:val="00897389"/>
    <w:rsid w:val="008A1928"/>
    <w:rsid w:val="008A5096"/>
    <w:rsid w:val="008A7DBF"/>
    <w:rsid w:val="008B10A3"/>
    <w:rsid w:val="008B3CEC"/>
    <w:rsid w:val="008B489E"/>
    <w:rsid w:val="008B57C3"/>
    <w:rsid w:val="008B5D47"/>
    <w:rsid w:val="008B7576"/>
    <w:rsid w:val="008B7B6B"/>
    <w:rsid w:val="008C03F4"/>
    <w:rsid w:val="008C18DC"/>
    <w:rsid w:val="008C1C73"/>
    <w:rsid w:val="008C1D9E"/>
    <w:rsid w:val="008C3EDA"/>
    <w:rsid w:val="008C4A8D"/>
    <w:rsid w:val="008C5C90"/>
    <w:rsid w:val="008C7334"/>
    <w:rsid w:val="008C733B"/>
    <w:rsid w:val="008C7696"/>
    <w:rsid w:val="008D15FC"/>
    <w:rsid w:val="008D2245"/>
    <w:rsid w:val="008D2F22"/>
    <w:rsid w:val="008D3307"/>
    <w:rsid w:val="008D389D"/>
    <w:rsid w:val="008D4105"/>
    <w:rsid w:val="008D5814"/>
    <w:rsid w:val="008D68DD"/>
    <w:rsid w:val="008D737B"/>
    <w:rsid w:val="008E0BDB"/>
    <w:rsid w:val="008E1333"/>
    <w:rsid w:val="008E2025"/>
    <w:rsid w:val="008E3067"/>
    <w:rsid w:val="008E34D0"/>
    <w:rsid w:val="008E3D5B"/>
    <w:rsid w:val="008E5EDA"/>
    <w:rsid w:val="008E6DA0"/>
    <w:rsid w:val="008E7B0D"/>
    <w:rsid w:val="008E7CA0"/>
    <w:rsid w:val="008E7E04"/>
    <w:rsid w:val="008F3DAE"/>
    <w:rsid w:val="008F4E84"/>
    <w:rsid w:val="008F6A42"/>
    <w:rsid w:val="008F78E7"/>
    <w:rsid w:val="00900212"/>
    <w:rsid w:val="00900B18"/>
    <w:rsid w:val="009022FD"/>
    <w:rsid w:val="00903CAF"/>
    <w:rsid w:val="00904910"/>
    <w:rsid w:val="009071AB"/>
    <w:rsid w:val="00907877"/>
    <w:rsid w:val="00910168"/>
    <w:rsid w:val="00912509"/>
    <w:rsid w:val="00915698"/>
    <w:rsid w:val="00915AEF"/>
    <w:rsid w:val="009162D0"/>
    <w:rsid w:val="009163BC"/>
    <w:rsid w:val="00916E0D"/>
    <w:rsid w:val="00917198"/>
    <w:rsid w:val="009179AA"/>
    <w:rsid w:val="0092016C"/>
    <w:rsid w:val="009254E9"/>
    <w:rsid w:val="00925AC3"/>
    <w:rsid w:val="00926C60"/>
    <w:rsid w:val="00931380"/>
    <w:rsid w:val="0093266E"/>
    <w:rsid w:val="009338EA"/>
    <w:rsid w:val="009342CB"/>
    <w:rsid w:val="00935E8C"/>
    <w:rsid w:val="00940950"/>
    <w:rsid w:val="00941444"/>
    <w:rsid w:val="00941E9E"/>
    <w:rsid w:val="00942041"/>
    <w:rsid w:val="009421FA"/>
    <w:rsid w:val="00942453"/>
    <w:rsid w:val="009435D4"/>
    <w:rsid w:val="00943F86"/>
    <w:rsid w:val="009459DD"/>
    <w:rsid w:val="00945FFB"/>
    <w:rsid w:val="00950D58"/>
    <w:rsid w:val="00951916"/>
    <w:rsid w:val="00951FA1"/>
    <w:rsid w:val="00952A70"/>
    <w:rsid w:val="009540B5"/>
    <w:rsid w:val="00956CD0"/>
    <w:rsid w:val="00957AD7"/>
    <w:rsid w:val="00961D64"/>
    <w:rsid w:val="0096209C"/>
    <w:rsid w:val="00963600"/>
    <w:rsid w:val="00964DCC"/>
    <w:rsid w:val="009670F4"/>
    <w:rsid w:val="00972182"/>
    <w:rsid w:val="0097229F"/>
    <w:rsid w:val="009728C6"/>
    <w:rsid w:val="00972D66"/>
    <w:rsid w:val="00973A1E"/>
    <w:rsid w:val="0097456A"/>
    <w:rsid w:val="009745DF"/>
    <w:rsid w:val="0097604A"/>
    <w:rsid w:val="009760B0"/>
    <w:rsid w:val="009769E0"/>
    <w:rsid w:val="00976D12"/>
    <w:rsid w:val="00976F92"/>
    <w:rsid w:val="009779B3"/>
    <w:rsid w:val="00977A0F"/>
    <w:rsid w:val="009804E2"/>
    <w:rsid w:val="00980CB8"/>
    <w:rsid w:val="00981028"/>
    <w:rsid w:val="009818F4"/>
    <w:rsid w:val="009827C7"/>
    <w:rsid w:val="00982D00"/>
    <w:rsid w:val="00983821"/>
    <w:rsid w:val="00983C2E"/>
    <w:rsid w:val="00984695"/>
    <w:rsid w:val="00987E93"/>
    <w:rsid w:val="009909A5"/>
    <w:rsid w:val="0099368C"/>
    <w:rsid w:val="00994730"/>
    <w:rsid w:val="00995C35"/>
    <w:rsid w:val="009973B8"/>
    <w:rsid w:val="009973BA"/>
    <w:rsid w:val="009A00C9"/>
    <w:rsid w:val="009A135E"/>
    <w:rsid w:val="009A5584"/>
    <w:rsid w:val="009A5C1A"/>
    <w:rsid w:val="009B04DC"/>
    <w:rsid w:val="009B2CE0"/>
    <w:rsid w:val="009B33DF"/>
    <w:rsid w:val="009B450C"/>
    <w:rsid w:val="009B50BE"/>
    <w:rsid w:val="009C1A34"/>
    <w:rsid w:val="009C31B0"/>
    <w:rsid w:val="009C5851"/>
    <w:rsid w:val="009C60D1"/>
    <w:rsid w:val="009D0C01"/>
    <w:rsid w:val="009D1163"/>
    <w:rsid w:val="009D3ED6"/>
    <w:rsid w:val="009D58DB"/>
    <w:rsid w:val="009D610A"/>
    <w:rsid w:val="009D6933"/>
    <w:rsid w:val="009D7F78"/>
    <w:rsid w:val="009E2098"/>
    <w:rsid w:val="009E2BCD"/>
    <w:rsid w:val="009E3604"/>
    <w:rsid w:val="009E446B"/>
    <w:rsid w:val="009E4D43"/>
    <w:rsid w:val="009E532C"/>
    <w:rsid w:val="009E714C"/>
    <w:rsid w:val="009E7AE2"/>
    <w:rsid w:val="009F01A4"/>
    <w:rsid w:val="009F0C83"/>
    <w:rsid w:val="009F260A"/>
    <w:rsid w:val="009F4AA8"/>
    <w:rsid w:val="009F68C6"/>
    <w:rsid w:val="00A0052D"/>
    <w:rsid w:val="00A01DFB"/>
    <w:rsid w:val="00A01E65"/>
    <w:rsid w:val="00A04DD0"/>
    <w:rsid w:val="00A05981"/>
    <w:rsid w:val="00A0608C"/>
    <w:rsid w:val="00A06128"/>
    <w:rsid w:val="00A071ED"/>
    <w:rsid w:val="00A074B2"/>
    <w:rsid w:val="00A076A3"/>
    <w:rsid w:val="00A10417"/>
    <w:rsid w:val="00A11131"/>
    <w:rsid w:val="00A132D9"/>
    <w:rsid w:val="00A14D71"/>
    <w:rsid w:val="00A15B39"/>
    <w:rsid w:val="00A202D7"/>
    <w:rsid w:val="00A2088D"/>
    <w:rsid w:val="00A21EC1"/>
    <w:rsid w:val="00A22146"/>
    <w:rsid w:val="00A24286"/>
    <w:rsid w:val="00A25002"/>
    <w:rsid w:val="00A25935"/>
    <w:rsid w:val="00A27982"/>
    <w:rsid w:val="00A32393"/>
    <w:rsid w:val="00A33C6B"/>
    <w:rsid w:val="00A34A95"/>
    <w:rsid w:val="00A40B2D"/>
    <w:rsid w:val="00A40E5B"/>
    <w:rsid w:val="00A42401"/>
    <w:rsid w:val="00A440C9"/>
    <w:rsid w:val="00A474C1"/>
    <w:rsid w:val="00A475AF"/>
    <w:rsid w:val="00A5020C"/>
    <w:rsid w:val="00A5025F"/>
    <w:rsid w:val="00A5184C"/>
    <w:rsid w:val="00A51B54"/>
    <w:rsid w:val="00A56296"/>
    <w:rsid w:val="00A6016D"/>
    <w:rsid w:val="00A602C9"/>
    <w:rsid w:val="00A60D04"/>
    <w:rsid w:val="00A61B9B"/>
    <w:rsid w:val="00A62377"/>
    <w:rsid w:val="00A64178"/>
    <w:rsid w:val="00A6685B"/>
    <w:rsid w:val="00A7091C"/>
    <w:rsid w:val="00A72F92"/>
    <w:rsid w:val="00A73186"/>
    <w:rsid w:val="00A74822"/>
    <w:rsid w:val="00A762FE"/>
    <w:rsid w:val="00A7686E"/>
    <w:rsid w:val="00A768C5"/>
    <w:rsid w:val="00A77F7D"/>
    <w:rsid w:val="00A80164"/>
    <w:rsid w:val="00A80405"/>
    <w:rsid w:val="00A814E4"/>
    <w:rsid w:val="00A8287D"/>
    <w:rsid w:val="00A82D71"/>
    <w:rsid w:val="00A84623"/>
    <w:rsid w:val="00A84DAA"/>
    <w:rsid w:val="00A873FD"/>
    <w:rsid w:val="00A87BC1"/>
    <w:rsid w:val="00A93B89"/>
    <w:rsid w:val="00A93D46"/>
    <w:rsid w:val="00A95697"/>
    <w:rsid w:val="00AA3941"/>
    <w:rsid w:val="00AA40F3"/>
    <w:rsid w:val="00AA544B"/>
    <w:rsid w:val="00AA58E7"/>
    <w:rsid w:val="00AA7B2A"/>
    <w:rsid w:val="00AB189E"/>
    <w:rsid w:val="00AB2EEE"/>
    <w:rsid w:val="00AB34E7"/>
    <w:rsid w:val="00AB4F54"/>
    <w:rsid w:val="00AB4F60"/>
    <w:rsid w:val="00AB5E36"/>
    <w:rsid w:val="00AB6945"/>
    <w:rsid w:val="00AC0A24"/>
    <w:rsid w:val="00AC2C95"/>
    <w:rsid w:val="00AC4828"/>
    <w:rsid w:val="00AD19F1"/>
    <w:rsid w:val="00AD1B7A"/>
    <w:rsid w:val="00AD233C"/>
    <w:rsid w:val="00AD72EE"/>
    <w:rsid w:val="00AD7E5A"/>
    <w:rsid w:val="00AE10AB"/>
    <w:rsid w:val="00AE1422"/>
    <w:rsid w:val="00AE1E73"/>
    <w:rsid w:val="00AE424C"/>
    <w:rsid w:val="00AE7F31"/>
    <w:rsid w:val="00AF0A2E"/>
    <w:rsid w:val="00AF33BD"/>
    <w:rsid w:val="00AF47DE"/>
    <w:rsid w:val="00AF4E5F"/>
    <w:rsid w:val="00AF54D3"/>
    <w:rsid w:val="00AF57A1"/>
    <w:rsid w:val="00AF7BF6"/>
    <w:rsid w:val="00B00209"/>
    <w:rsid w:val="00B0127B"/>
    <w:rsid w:val="00B01A41"/>
    <w:rsid w:val="00B01F62"/>
    <w:rsid w:val="00B020FC"/>
    <w:rsid w:val="00B07A94"/>
    <w:rsid w:val="00B12280"/>
    <w:rsid w:val="00B14018"/>
    <w:rsid w:val="00B14638"/>
    <w:rsid w:val="00B1474A"/>
    <w:rsid w:val="00B14BCD"/>
    <w:rsid w:val="00B17482"/>
    <w:rsid w:val="00B20AA0"/>
    <w:rsid w:val="00B2241E"/>
    <w:rsid w:val="00B22559"/>
    <w:rsid w:val="00B2721B"/>
    <w:rsid w:val="00B305CC"/>
    <w:rsid w:val="00B33818"/>
    <w:rsid w:val="00B33854"/>
    <w:rsid w:val="00B36AC1"/>
    <w:rsid w:val="00B370C3"/>
    <w:rsid w:val="00B37FBA"/>
    <w:rsid w:val="00B40373"/>
    <w:rsid w:val="00B42536"/>
    <w:rsid w:val="00B425FD"/>
    <w:rsid w:val="00B43114"/>
    <w:rsid w:val="00B44942"/>
    <w:rsid w:val="00B449BB"/>
    <w:rsid w:val="00B44BA0"/>
    <w:rsid w:val="00B4554B"/>
    <w:rsid w:val="00B458A7"/>
    <w:rsid w:val="00B45A5C"/>
    <w:rsid w:val="00B50D79"/>
    <w:rsid w:val="00B53035"/>
    <w:rsid w:val="00B55D17"/>
    <w:rsid w:val="00B60661"/>
    <w:rsid w:val="00B619B6"/>
    <w:rsid w:val="00B62E7F"/>
    <w:rsid w:val="00B62FDF"/>
    <w:rsid w:val="00B63933"/>
    <w:rsid w:val="00B63D74"/>
    <w:rsid w:val="00B64FA0"/>
    <w:rsid w:val="00B70878"/>
    <w:rsid w:val="00B70AB7"/>
    <w:rsid w:val="00B71004"/>
    <w:rsid w:val="00B717F5"/>
    <w:rsid w:val="00B71D3B"/>
    <w:rsid w:val="00B7281F"/>
    <w:rsid w:val="00B72AF5"/>
    <w:rsid w:val="00B73890"/>
    <w:rsid w:val="00B73BD7"/>
    <w:rsid w:val="00B759F5"/>
    <w:rsid w:val="00B7666B"/>
    <w:rsid w:val="00B77C04"/>
    <w:rsid w:val="00B77DD4"/>
    <w:rsid w:val="00B80E06"/>
    <w:rsid w:val="00B8171A"/>
    <w:rsid w:val="00B81797"/>
    <w:rsid w:val="00B819C4"/>
    <w:rsid w:val="00B81A13"/>
    <w:rsid w:val="00B82A8F"/>
    <w:rsid w:val="00B83479"/>
    <w:rsid w:val="00B839C9"/>
    <w:rsid w:val="00B92F95"/>
    <w:rsid w:val="00B93D0A"/>
    <w:rsid w:val="00B96C67"/>
    <w:rsid w:val="00B96E8C"/>
    <w:rsid w:val="00B97FAE"/>
    <w:rsid w:val="00BA3200"/>
    <w:rsid w:val="00BA32FF"/>
    <w:rsid w:val="00BA6789"/>
    <w:rsid w:val="00BA7551"/>
    <w:rsid w:val="00BB029C"/>
    <w:rsid w:val="00BB14E7"/>
    <w:rsid w:val="00BB2777"/>
    <w:rsid w:val="00BB33F1"/>
    <w:rsid w:val="00BB4205"/>
    <w:rsid w:val="00BB7E8D"/>
    <w:rsid w:val="00BC0ADC"/>
    <w:rsid w:val="00BC1C17"/>
    <w:rsid w:val="00BC1E94"/>
    <w:rsid w:val="00BC31C1"/>
    <w:rsid w:val="00BC7D22"/>
    <w:rsid w:val="00BC7F83"/>
    <w:rsid w:val="00BD065D"/>
    <w:rsid w:val="00BD1629"/>
    <w:rsid w:val="00BD18DD"/>
    <w:rsid w:val="00BD2860"/>
    <w:rsid w:val="00BD38BD"/>
    <w:rsid w:val="00BD3D29"/>
    <w:rsid w:val="00BD3FEA"/>
    <w:rsid w:val="00BD4479"/>
    <w:rsid w:val="00BD779C"/>
    <w:rsid w:val="00BE0213"/>
    <w:rsid w:val="00BE0D58"/>
    <w:rsid w:val="00BE2386"/>
    <w:rsid w:val="00BE2A8B"/>
    <w:rsid w:val="00BE304F"/>
    <w:rsid w:val="00BE4E95"/>
    <w:rsid w:val="00BE58AE"/>
    <w:rsid w:val="00BE71D8"/>
    <w:rsid w:val="00BE7430"/>
    <w:rsid w:val="00BF1300"/>
    <w:rsid w:val="00BF195C"/>
    <w:rsid w:val="00BF1A45"/>
    <w:rsid w:val="00BF1CF5"/>
    <w:rsid w:val="00BF1FA6"/>
    <w:rsid w:val="00BF2797"/>
    <w:rsid w:val="00BF741B"/>
    <w:rsid w:val="00C0192D"/>
    <w:rsid w:val="00C06886"/>
    <w:rsid w:val="00C14857"/>
    <w:rsid w:val="00C155C6"/>
    <w:rsid w:val="00C1639C"/>
    <w:rsid w:val="00C16478"/>
    <w:rsid w:val="00C17F05"/>
    <w:rsid w:val="00C20FB3"/>
    <w:rsid w:val="00C2213D"/>
    <w:rsid w:val="00C23108"/>
    <w:rsid w:val="00C23AC4"/>
    <w:rsid w:val="00C2588D"/>
    <w:rsid w:val="00C27CB5"/>
    <w:rsid w:val="00C31897"/>
    <w:rsid w:val="00C321A4"/>
    <w:rsid w:val="00C32811"/>
    <w:rsid w:val="00C33731"/>
    <w:rsid w:val="00C33B4B"/>
    <w:rsid w:val="00C34F88"/>
    <w:rsid w:val="00C35797"/>
    <w:rsid w:val="00C366F5"/>
    <w:rsid w:val="00C36AA5"/>
    <w:rsid w:val="00C370DE"/>
    <w:rsid w:val="00C37430"/>
    <w:rsid w:val="00C37B48"/>
    <w:rsid w:val="00C414BB"/>
    <w:rsid w:val="00C4306A"/>
    <w:rsid w:val="00C441FE"/>
    <w:rsid w:val="00C44625"/>
    <w:rsid w:val="00C448A4"/>
    <w:rsid w:val="00C44E20"/>
    <w:rsid w:val="00C47A75"/>
    <w:rsid w:val="00C47F62"/>
    <w:rsid w:val="00C50C22"/>
    <w:rsid w:val="00C52A1A"/>
    <w:rsid w:val="00C532E6"/>
    <w:rsid w:val="00C56FC6"/>
    <w:rsid w:val="00C57B5B"/>
    <w:rsid w:val="00C61EEB"/>
    <w:rsid w:val="00C64111"/>
    <w:rsid w:val="00C65929"/>
    <w:rsid w:val="00C65CCA"/>
    <w:rsid w:val="00C70A98"/>
    <w:rsid w:val="00C730CB"/>
    <w:rsid w:val="00C76D52"/>
    <w:rsid w:val="00C77EA3"/>
    <w:rsid w:val="00C8539C"/>
    <w:rsid w:val="00C861C2"/>
    <w:rsid w:val="00C868C9"/>
    <w:rsid w:val="00C873B8"/>
    <w:rsid w:val="00C93BC8"/>
    <w:rsid w:val="00C94756"/>
    <w:rsid w:val="00C9675A"/>
    <w:rsid w:val="00C97799"/>
    <w:rsid w:val="00CA1C81"/>
    <w:rsid w:val="00CA2496"/>
    <w:rsid w:val="00CA296A"/>
    <w:rsid w:val="00CA2ED7"/>
    <w:rsid w:val="00CA3E91"/>
    <w:rsid w:val="00CA6095"/>
    <w:rsid w:val="00CB05A5"/>
    <w:rsid w:val="00CB308A"/>
    <w:rsid w:val="00CB5668"/>
    <w:rsid w:val="00CB68B2"/>
    <w:rsid w:val="00CB706F"/>
    <w:rsid w:val="00CC0669"/>
    <w:rsid w:val="00CC40D9"/>
    <w:rsid w:val="00CC4EC3"/>
    <w:rsid w:val="00CC50BA"/>
    <w:rsid w:val="00CC58F6"/>
    <w:rsid w:val="00CC6176"/>
    <w:rsid w:val="00CC7F79"/>
    <w:rsid w:val="00CD0077"/>
    <w:rsid w:val="00CD0FD6"/>
    <w:rsid w:val="00CD1894"/>
    <w:rsid w:val="00CD3AEB"/>
    <w:rsid w:val="00CD47AF"/>
    <w:rsid w:val="00CD5D5D"/>
    <w:rsid w:val="00CD6DA4"/>
    <w:rsid w:val="00CE3220"/>
    <w:rsid w:val="00CE4A0D"/>
    <w:rsid w:val="00CE4EA5"/>
    <w:rsid w:val="00CF028B"/>
    <w:rsid w:val="00CF2955"/>
    <w:rsid w:val="00CF31F9"/>
    <w:rsid w:val="00CF4CA0"/>
    <w:rsid w:val="00CF5F43"/>
    <w:rsid w:val="00CF65D6"/>
    <w:rsid w:val="00CF7553"/>
    <w:rsid w:val="00D04FA8"/>
    <w:rsid w:val="00D066A6"/>
    <w:rsid w:val="00D11429"/>
    <w:rsid w:val="00D12B2F"/>
    <w:rsid w:val="00D1319A"/>
    <w:rsid w:val="00D1392D"/>
    <w:rsid w:val="00D14DB8"/>
    <w:rsid w:val="00D2054E"/>
    <w:rsid w:val="00D230EF"/>
    <w:rsid w:val="00D2431A"/>
    <w:rsid w:val="00D313B2"/>
    <w:rsid w:val="00D3633B"/>
    <w:rsid w:val="00D3688E"/>
    <w:rsid w:val="00D37724"/>
    <w:rsid w:val="00D3778D"/>
    <w:rsid w:val="00D40B98"/>
    <w:rsid w:val="00D40BB4"/>
    <w:rsid w:val="00D41F62"/>
    <w:rsid w:val="00D43785"/>
    <w:rsid w:val="00D443A0"/>
    <w:rsid w:val="00D4509B"/>
    <w:rsid w:val="00D455EC"/>
    <w:rsid w:val="00D4640D"/>
    <w:rsid w:val="00D51170"/>
    <w:rsid w:val="00D524E5"/>
    <w:rsid w:val="00D53877"/>
    <w:rsid w:val="00D53923"/>
    <w:rsid w:val="00D604D0"/>
    <w:rsid w:val="00D60C8B"/>
    <w:rsid w:val="00D6377D"/>
    <w:rsid w:val="00D642E5"/>
    <w:rsid w:val="00D64589"/>
    <w:rsid w:val="00D654E3"/>
    <w:rsid w:val="00D66571"/>
    <w:rsid w:val="00D667A4"/>
    <w:rsid w:val="00D70127"/>
    <w:rsid w:val="00D713AD"/>
    <w:rsid w:val="00D71C48"/>
    <w:rsid w:val="00D72E09"/>
    <w:rsid w:val="00D73909"/>
    <w:rsid w:val="00D80222"/>
    <w:rsid w:val="00D81CE9"/>
    <w:rsid w:val="00D83E2C"/>
    <w:rsid w:val="00D84FEA"/>
    <w:rsid w:val="00D85752"/>
    <w:rsid w:val="00D8612B"/>
    <w:rsid w:val="00D87137"/>
    <w:rsid w:val="00D87B00"/>
    <w:rsid w:val="00D87DBA"/>
    <w:rsid w:val="00D92E31"/>
    <w:rsid w:val="00D93263"/>
    <w:rsid w:val="00D968FC"/>
    <w:rsid w:val="00D97C5D"/>
    <w:rsid w:val="00DA166A"/>
    <w:rsid w:val="00DA1BCD"/>
    <w:rsid w:val="00DA1D96"/>
    <w:rsid w:val="00DA223F"/>
    <w:rsid w:val="00DA4FB1"/>
    <w:rsid w:val="00DA6E8D"/>
    <w:rsid w:val="00DA7581"/>
    <w:rsid w:val="00DA7A78"/>
    <w:rsid w:val="00DA7AA9"/>
    <w:rsid w:val="00DA7FF2"/>
    <w:rsid w:val="00DB2D8D"/>
    <w:rsid w:val="00DB2FF1"/>
    <w:rsid w:val="00DB3CD6"/>
    <w:rsid w:val="00DB6F9F"/>
    <w:rsid w:val="00DC1584"/>
    <w:rsid w:val="00DC18C3"/>
    <w:rsid w:val="00DC1D0E"/>
    <w:rsid w:val="00DC1D98"/>
    <w:rsid w:val="00DC2466"/>
    <w:rsid w:val="00DC2C89"/>
    <w:rsid w:val="00DC5341"/>
    <w:rsid w:val="00DC687B"/>
    <w:rsid w:val="00DC7B2E"/>
    <w:rsid w:val="00DD0E1C"/>
    <w:rsid w:val="00DD2AD7"/>
    <w:rsid w:val="00DD418D"/>
    <w:rsid w:val="00DD4C30"/>
    <w:rsid w:val="00DD5809"/>
    <w:rsid w:val="00DE1950"/>
    <w:rsid w:val="00DE27CB"/>
    <w:rsid w:val="00DE27D3"/>
    <w:rsid w:val="00DE32B1"/>
    <w:rsid w:val="00DE3840"/>
    <w:rsid w:val="00DE4B94"/>
    <w:rsid w:val="00DE780D"/>
    <w:rsid w:val="00DE78D9"/>
    <w:rsid w:val="00DF3544"/>
    <w:rsid w:val="00DF4C4B"/>
    <w:rsid w:val="00DF5638"/>
    <w:rsid w:val="00DF60BD"/>
    <w:rsid w:val="00DF623C"/>
    <w:rsid w:val="00DF785C"/>
    <w:rsid w:val="00DF7C3E"/>
    <w:rsid w:val="00E00107"/>
    <w:rsid w:val="00E001F8"/>
    <w:rsid w:val="00E01B73"/>
    <w:rsid w:val="00E02190"/>
    <w:rsid w:val="00E03441"/>
    <w:rsid w:val="00E03C60"/>
    <w:rsid w:val="00E05002"/>
    <w:rsid w:val="00E0757C"/>
    <w:rsid w:val="00E109DD"/>
    <w:rsid w:val="00E11DBA"/>
    <w:rsid w:val="00E11E0C"/>
    <w:rsid w:val="00E13332"/>
    <w:rsid w:val="00E134C1"/>
    <w:rsid w:val="00E135B0"/>
    <w:rsid w:val="00E14F3C"/>
    <w:rsid w:val="00E152E9"/>
    <w:rsid w:val="00E15DBD"/>
    <w:rsid w:val="00E1736E"/>
    <w:rsid w:val="00E20FFE"/>
    <w:rsid w:val="00E24438"/>
    <w:rsid w:val="00E247B5"/>
    <w:rsid w:val="00E25EE4"/>
    <w:rsid w:val="00E25F6D"/>
    <w:rsid w:val="00E27889"/>
    <w:rsid w:val="00E30B86"/>
    <w:rsid w:val="00E315D6"/>
    <w:rsid w:val="00E34DCE"/>
    <w:rsid w:val="00E35D3A"/>
    <w:rsid w:val="00E36749"/>
    <w:rsid w:val="00E43323"/>
    <w:rsid w:val="00E45707"/>
    <w:rsid w:val="00E46C7B"/>
    <w:rsid w:val="00E5283B"/>
    <w:rsid w:val="00E52D73"/>
    <w:rsid w:val="00E533EA"/>
    <w:rsid w:val="00E55DC9"/>
    <w:rsid w:val="00E56501"/>
    <w:rsid w:val="00E5738E"/>
    <w:rsid w:val="00E609DE"/>
    <w:rsid w:val="00E62ED9"/>
    <w:rsid w:val="00E63051"/>
    <w:rsid w:val="00E641BA"/>
    <w:rsid w:val="00E64A42"/>
    <w:rsid w:val="00E6525C"/>
    <w:rsid w:val="00E668F3"/>
    <w:rsid w:val="00E67904"/>
    <w:rsid w:val="00E70DB4"/>
    <w:rsid w:val="00E71B67"/>
    <w:rsid w:val="00E74DB9"/>
    <w:rsid w:val="00E77920"/>
    <w:rsid w:val="00E8077E"/>
    <w:rsid w:val="00E80C9B"/>
    <w:rsid w:val="00E80DBB"/>
    <w:rsid w:val="00E81296"/>
    <w:rsid w:val="00E823FB"/>
    <w:rsid w:val="00E83EDE"/>
    <w:rsid w:val="00E84B3B"/>
    <w:rsid w:val="00E85607"/>
    <w:rsid w:val="00E87F2A"/>
    <w:rsid w:val="00E9020A"/>
    <w:rsid w:val="00E92317"/>
    <w:rsid w:val="00E940F3"/>
    <w:rsid w:val="00E94AB3"/>
    <w:rsid w:val="00E9637B"/>
    <w:rsid w:val="00E964E9"/>
    <w:rsid w:val="00E96845"/>
    <w:rsid w:val="00EA007F"/>
    <w:rsid w:val="00EA3EE0"/>
    <w:rsid w:val="00EB0865"/>
    <w:rsid w:val="00EB1BAA"/>
    <w:rsid w:val="00EB6018"/>
    <w:rsid w:val="00EC12F4"/>
    <w:rsid w:val="00EC15FA"/>
    <w:rsid w:val="00EC1636"/>
    <w:rsid w:val="00EC1C67"/>
    <w:rsid w:val="00EC5342"/>
    <w:rsid w:val="00EC60E4"/>
    <w:rsid w:val="00ED23C1"/>
    <w:rsid w:val="00ED2B3D"/>
    <w:rsid w:val="00ED4B97"/>
    <w:rsid w:val="00ED4CB0"/>
    <w:rsid w:val="00ED5FDC"/>
    <w:rsid w:val="00ED6E84"/>
    <w:rsid w:val="00EE1105"/>
    <w:rsid w:val="00EE2482"/>
    <w:rsid w:val="00EE3D1F"/>
    <w:rsid w:val="00EE63AC"/>
    <w:rsid w:val="00EE6919"/>
    <w:rsid w:val="00EE792E"/>
    <w:rsid w:val="00EF13C7"/>
    <w:rsid w:val="00EF2394"/>
    <w:rsid w:val="00EF4599"/>
    <w:rsid w:val="00EF6143"/>
    <w:rsid w:val="00EF7565"/>
    <w:rsid w:val="00EF7D1F"/>
    <w:rsid w:val="00F01C23"/>
    <w:rsid w:val="00F0269E"/>
    <w:rsid w:val="00F02A4E"/>
    <w:rsid w:val="00F034DA"/>
    <w:rsid w:val="00F03AFA"/>
    <w:rsid w:val="00F042EB"/>
    <w:rsid w:val="00F04F12"/>
    <w:rsid w:val="00F05140"/>
    <w:rsid w:val="00F07588"/>
    <w:rsid w:val="00F079C8"/>
    <w:rsid w:val="00F12231"/>
    <w:rsid w:val="00F124C3"/>
    <w:rsid w:val="00F130CC"/>
    <w:rsid w:val="00F15FC2"/>
    <w:rsid w:val="00F20109"/>
    <w:rsid w:val="00F229A7"/>
    <w:rsid w:val="00F22F5F"/>
    <w:rsid w:val="00F232D7"/>
    <w:rsid w:val="00F23F0F"/>
    <w:rsid w:val="00F24C6B"/>
    <w:rsid w:val="00F24E37"/>
    <w:rsid w:val="00F258D5"/>
    <w:rsid w:val="00F261DC"/>
    <w:rsid w:val="00F26BE7"/>
    <w:rsid w:val="00F27D7D"/>
    <w:rsid w:val="00F30193"/>
    <w:rsid w:val="00F302B4"/>
    <w:rsid w:val="00F3061C"/>
    <w:rsid w:val="00F3309A"/>
    <w:rsid w:val="00F330DC"/>
    <w:rsid w:val="00F33435"/>
    <w:rsid w:val="00F335F9"/>
    <w:rsid w:val="00F34A3E"/>
    <w:rsid w:val="00F34BEF"/>
    <w:rsid w:val="00F350EF"/>
    <w:rsid w:val="00F369B1"/>
    <w:rsid w:val="00F408C3"/>
    <w:rsid w:val="00F41070"/>
    <w:rsid w:val="00F45D76"/>
    <w:rsid w:val="00F532B6"/>
    <w:rsid w:val="00F53370"/>
    <w:rsid w:val="00F536DB"/>
    <w:rsid w:val="00F546C9"/>
    <w:rsid w:val="00F55384"/>
    <w:rsid w:val="00F55D29"/>
    <w:rsid w:val="00F62262"/>
    <w:rsid w:val="00F65E91"/>
    <w:rsid w:val="00F6676D"/>
    <w:rsid w:val="00F66A2B"/>
    <w:rsid w:val="00F678A8"/>
    <w:rsid w:val="00F712B1"/>
    <w:rsid w:val="00F728BB"/>
    <w:rsid w:val="00F74487"/>
    <w:rsid w:val="00F7542B"/>
    <w:rsid w:val="00F75BCF"/>
    <w:rsid w:val="00F75E34"/>
    <w:rsid w:val="00F75EF7"/>
    <w:rsid w:val="00F77B03"/>
    <w:rsid w:val="00F77EC5"/>
    <w:rsid w:val="00F80063"/>
    <w:rsid w:val="00F807C3"/>
    <w:rsid w:val="00F814AA"/>
    <w:rsid w:val="00F818F0"/>
    <w:rsid w:val="00F82782"/>
    <w:rsid w:val="00F83855"/>
    <w:rsid w:val="00F856B4"/>
    <w:rsid w:val="00F866FF"/>
    <w:rsid w:val="00F91C53"/>
    <w:rsid w:val="00F9387F"/>
    <w:rsid w:val="00F93A0B"/>
    <w:rsid w:val="00F93D9F"/>
    <w:rsid w:val="00F955E3"/>
    <w:rsid w:val="00F95B8A"/>
    <w:rsid w:val="00F96BCF"/>
    <w:rsid w:val="00FA09D6"/>
    <w:rsid w:val="00FA0CE8"/>
    <w:rsid w:val="00FA0F49"/>
    <w:rsid w:val="00FA288C"/>
    <w:rsid w:val="00FA294A"/>
    <w:rsid w:val="00FA3C9C"/>
    <w:rsid w:val="00FA4140"/>
    <w:rsid w:val="00FA4376"/>
    <w:rsid w:val="00FB00E5"/>
    <w:rsid w:val="00FB0430"/>
    <w:rsid w:val="00FB253C"/>
    <w:rsid w:val="00FB3CB1"/>
    <w:rsid w:val="00FB4484"/>
    <w:rsid w:val="00FB562D"/>
    <w:rsid w:val="00FB5B40"/>
    <w:rsid w:val="00FB6D4A"/>
    <w:rsid w:val="00FC1B1A"/>
    <w:rsid w:val="00FC3EDC"/>
    <w:rsid w:val="00FC4AA8"/>
    <w:rsid w:val="00FC5252"/>
    <w:rsid w:val="00FC6988"/>
    <w:rsid w:val="00FD0B96"/>
    <w:rsid w:val="00FD0E85"/>
    <w:rsid w:val="00FD2FD7"/>
    <w:rsid w:val="00FD32C4"/>
    <w:rsid w:val="00FD387D"/>
    <w:rsid w:val="00FD4639"/>
    <w:rsid w:val="00FD577D"/>
    <w:rsid w:val="00FE0863"/>
    <w:rsid w:val="00FE0D06"/>
    <w:rsid w:val="00FE3246"/>
    <w:rsid w:val="00FF0029"/>
    <w:rsid w:val="00FF052A"/>
    <w:rsid w:val="00FF2996"/>
    <w:rsid w:val="00FF35FA"/>
    <w:rsid w:val="00FF48D6"/>
    <w:rsid w:val="00FF6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1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EF9"/>
    <w:rPr>
      <w:rFonts w:ascii="Tahoma" w:hAnsi="Tahoma" w:cs="Tahoma"/>
      <w:sz w:val="16"/>
      <w:szCs w:val="16"/>
    </w:rPr>
  </w:style>
  <w:style w:type="paragraph" w:styleId="ListParagraph">
    <w:name w:val="List Paragraph"/>
    <w:basedOn w:val="Normal"/>
    <w:uiPriority w:val="34"/>
    <w:qFormat/>
    <w:rsid w:val="00570563"/>
    <w:pPr>
      <w:ind w:left="720"/>
      <w:contextualSpacing/>
    </w:pPr>
  </w:style>
  <w:style w:type="table" w:styleId="TableGrid">
    <w:name w:val="Table Grid"/>
    <w:basedOn w:val="TableNormal"/>
    <w:uiPriority w:val="59"/>
    <w:rsid w:val="00E15D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4797938">
      <w:bodyDiv w:val="1"/>
      <w:marLeft w:val="0"/>
      <w:marRight w:val="0"/>
      <w:marTop w:val="0"/>
      <w:marBottom w:val="0"/>
      <w:divBdr>
        <w:top w:val="none" w:sz="0" w:space="0" w:color="auto"/>
        <w:left w:val="none" w:sz="0" w:space="0" w:color="auto"/>
        <w:bottom w:val="none" w:sz="0" w:space="0" w:color="auto"/>
        <w:right w:val="none" w:sz="0" w:space="0" w:color="auto"/>
      </w:divBdr>
    </w:div>
    <w:div w:id="400294316">
      <w:bodyDiv w:val="1"/>
      <w:marLeft w:val="0"/>
      <w:marRight w:val="0"/>
      <w:marTop w:val="0"/>
      <w:marBottom w:val="0"/>
      <w:divBdr>
        <w:top w:val="none" w:sz="0" w:space="0" w:color="auto"/>
        <w:left w:val="none" w:sz="0" w:space="0" w:color="auto"/>
        <w:bottom w:val="none" w:sz="0" w:space="0" w:color="auto"/>
        <w:right w:val="none" w:sz="0" w:space="0" w:color="auto"/>
      </w:divBdr>
    </w:div>
    <w:div w:id="734084149">
      <w:bodyDiv w:val="1"/>
      <w:marLeft w:val="0"/>
      <w:marRight w:val="0"/>
      <w:marTop w:val="0"/>
      <w:marBottom w:val="0"/>
      <w:divBdr>
        <w:top w:val="none" w:sz="0" w:space="0" w:color="auto"/>
        <w:left w:val="none" w:sz="0" w:space="0" w:color="auto"/>
        <w:bottom w:val="none" w:sz="0" w:space="0" w:color="auto"/>
        <w:right w:val="none" w:sz="0" w:space="0" w:color="auto"/>
      </w:divBdr>
    </w:div>
    <w:div w:id="804198175">
      <w:bodyDiv w:val="1"/>
      <w:marLeft w:val="0"/>
      <w:marRight w:val="0"/>
      <w:marTop w:val="0"/>
      <w:marBottom w:val="0"/>
      <w:divBdr>
        <w:top w:val="none" w:sz="0" w:space="0" w:color="auto"/>
        <w:left w:val="none" w:sz="0" w:space="0" w:color="auto"/>
        <w:bottom w:val="none" w:sz="0" w:space="0" w:color="auto"/>
        <w:right w:val="none" w:sz="0" w:space="0" w:color="auto"/>
      </w:divBdr>
    </w:div>
    <w:div w:id="183514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cjones</dc:creator>
  <cp:keywords/>
  <dc:description/>
  <cp:lastModifiedBy>Nunes, Joseph</cp:lastModifiedBy>
  <cp:revision>48</cp:revision>
  <cp:lastPrinted>2010-03-30T15:39:00Z</cp:lastPrinted>
  <dcterms:created xsi:type="dcterms:W3CDTF">2009-12-14T22:44:00Z</dcterms:created>
  <dcterms:modified xsi:type="dcterms:W3CDTF">2018-04-10T17:00:00Z</dcterms:modified>
</cp:coreProperties>
</file>